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宋体" w:hAnsi="宋体" w:eastAsia="宋体"/>
          <w:b/>
          <w:bCs/>
          <w:sz w:val="52"/>
          <w:szCs w:val="52"/>
          <w:highlight w:val="none"/>
          <w:lang w:val="en-US" w:eastAsia="zh-CN"/>
        </w:rPr>
      </w:pPr>
      <w:bookmarkStart w:id="0" w:name="_Hlk9544796"/>
      <w:r>
        <w:rPr>
          <w:rFonts w:hint="eastAsia" w:ascii="宋体" w:hAnsi="宋体" w:eastAsia="宋体"/>
          <w:b/>
          <w:bCs/>
          <w:sz w:val="52"/>
          <w:szCs w:val="52"/>
          <w:highlight w:val="none"/>
          <w:lang w:eastAsia="zh-CN"/>
        </w:rPr>
        <w:t>巢湖市金盾驾校全功能智能化考场设备采购及安装</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highlight w:val="none"/>
        </w:rPr>
      </w:pPr>
    </w:p>
    <w:p>
      <w:pPr>
        <w:pStyle w:val="8"/>
        <w:rPr>
          <w:rFonts w:hint="eastAsia" w:ascii="宋体" w:hAnsi="宋体" w:eastAsia="宋体"/>
          <w:b/>
          <w:bCs/>
          <w:sz w:val="52"/>
          <w:szCs w:val="52"/>
          <w:highlight w:val="none"/>
        </w:rPr>
      </w:pPr>
    </w:p>
    <w:p>
      <w:pPr>
        <w:pStyle w:val="8"/>
        <w:rPr>
          <w:rFonts w:hint="eastAsia" w:ascii="宋体" w:hAnsi="宋体" w:eastAsia="宋体"/>
          <w:b/>
          <w:bCs/>
          <w:sz w:val="52"/>
          <w:szCs w:val="52"/>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highlight w:val="none"/>
        </w:rPr>
      </w:pPr>
      <w:r>
        <w:rPr>
          <w:rFonts w:hint="eastAsia" w:ascii="宋体" w:hAnsi="宋体" w:eastAsia="宋体"/>
          <w:b/>
          <w:bCs/>
          <w:sz w:val="52"/>
          <w:szCs w:val="52"/>
          <w:highlight w:val="none"/>
        </w:rPr>
        <w:t>竞争性磋商文件</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highlight w:val="none"/>
        </w:rPr>
      </w:pPr>
      <w:r>
        <w:rPr>
          <w:rFonts w:hint="eastAsia" w:ascii="宋体" w:hAnsi="宋体" w:eastAsia="宋体"/>
          <w:b/>
          <w:bCs/>
          <w:sz w:val="52"/>
          <w:szCs w:val="52"/>
          <w:highlight w:val="none"/>
        </w:rPr>
        <w:t>（货物类）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highlight w:val="none"/>
        </w:rPr>
      </w:pPr>
    </w:p>
    <w:p>
      <w:pPr>
        <w:pStyle w:val="13"/>
        <w:rPr>
          <w:rFonts w:ascii="宋体" w:hAnsi="宋体" w:eastAsia="宋体"/>
          <w:b/>
          <w:bCs/>
          <w:sz w:val="44"/>
          <w:szCs w:val="44"/>
          <w:highlight w:val="none"/>
        </w:rPr>
      </w:pPr>
    </w:p>
    <w:p>
      <w:pPr>
        <w:rPr>
          <w:highlight w:val="none"/>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项目名称：</w:t>
      </w:r>
      <w:r>
        <w:rPr>
          <w:rFonts w:hint="eastAsia" w:ascii="宋体" w:hAnsi="宋体" w:eastAsia="宋体"/>
          <w:b/>
          <w:spacing w:val="20"/>
          <w:kern w:val="0"/>
          <w:sz w:val="32"/>
          <w:szCs w:val="32"/>
          <w:highlight w:val="none"/>
          <w:u w:val="single"/>
          <w:lang w:eastAsia="zh-CN"/>
        </w:rPr>
        <w:t>巢湖市金盾驾校全功能智能化考场设备采购及安装</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项目编号：</w:t>
      </w:r>
      <w:r>
        <w:rPr>
          <w:rFonts w:hint="eastAsia" w:ascii="宋体" w:hAnsi="宋体" w:eastAsia="宋体"/>
          <w:b/>
          <w:spacing w:val="20"/>
          <w:kern w:val="0"/>
          <w:sz w:val="32"/>
          <w:szCs w:val="32"/>
          <w:highlight w:val="none"/>
          <w:u w:val="single"/>
          <w:lang w:eastAsia="zh-CN"/>
        </w:rPr>
        <w:t>2024AHTS0013</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采 购 人：</w:t>
      </w:r>
      <w:r>
        <w:rPr>
          <w:rFonts w:hint="eastAsia" w:ascii="宋体" w:hAnsi="宋体" w:eastAsia="宋体"/>
          <w:b/>
          <w:spacing w:val="20"/>
          <w:kern w:val="0"/>
          <w:sz w:val="32"/>
          <w:szCs w:val="32"/>
          <w:highlight w:val="none"/>
          <w:u w:val="single"/>
          <w:lang w:eastAsia="zh-CN"/>
        </w:rPr>
        <w:t>巢湖市金盾机动车驾驶员培训学校有限公司</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采购代理机构：</w:t>
      </w:r>
      <w:r>
        <w:rPr>
          <w:rFonts w:hint="eastAsia" w:ascii="宋体" w:hAnsi="宋体" w:eastAsia="宋体"/>
          <w:b/>
          <w:spacing w:val="20"/>
          <w:kern w:val="0"/>
          <w:sz w:val="32"/>
          <w:szCs w:val="32"/>
          <w:highlight w:val="none"/>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highlight w:val="none"/>
        </w:rPr>
      </w:pPr>
      <w:r>
        <w:rPr>
          <w:rFonts w:hint="eastAsia" w:ascii="宋体" w:hAnsi="宋体" w:eastAsia="宋体"/>
          <w:b/>
          <w:sz w:val="36"/>
          <w:highlight w:val="none"/>
          <w:u w:val="single"/>
        </w:rPr>
        <w:t xml:space="preserve"> </w:t>
      </w:r>
      <w:r>
        <w:rPr>
          <w:rFonts w:hint="eastAsia" w:ascii="宋体" w:hAnsi="宋体" w:eastAsia="宋体"/>
          <w:b/>
          <w:sz w:val="36"/>
          <w:highlight w:val="none"/>
          <w:u w:val="single"/>
          <w:lang w:val="en-US" w:eastAsia="zh-CN"/>
        </w:rPr>
        <w:t>2024</w:t>
      </w:r>
      <w:r>
        <w:rPr>
          <w:rFonts w:hint="eastAsia" w:ascii="宋体" w:hAnsi="宋体" w:eastAsia="宋体"/>
          <w:b/>
          <w:sz w:val="36"/>
          <w:highlight w:val="none"/>
          <w:u w:val="single"/>
        </w:rPr>
        <w:t xml:space="preserve"> </w:t>
      </w:r>
      <w:r>
        <w:rPr>
          <w:rFonts w:hint="eastAsia" w:ascii="宋体" w:hAnsi="宋体" w:eastAsia="宋体"/>
          <w:b/>
          <w:sz w:val="36"/>
          <w:highlight w:val="none"/>
        </w:rPr>
        <w:t>年</w:t>
      </w:r>
      <w:r>
        <w:rPr>
          <w:rFonts w:hint="eastAsia" w:ascii="宋体" w:hAnsi="宋体" w:eastAsia="宋体"/>
          <w:b/>
          <w:sz w:val="36"/>
          <w:highlight w:val="none"/>
          <w:u w:val="single"/>
        </w:rPr>
        <w:t xml:space="preserve"> </w:t>
      </w:r>
      <w:r>
        <w:rPr>
          <w:rFonts w:hint="eastAsia" w:ascii="宋体" w:hAnsi="宋体" w:eastAsia="宋体"/>
          <w:b/>
          <w:sz w:val="36"/>
          <w:highlight w:val="none"/>
          <w:u w:val="single"/>
          <w:lang w:val="en-US" w:eastAsia="zh-CN"/>
        </w:rPr>
        <w:t>3</w:t>
      </w:r>
      <w:r>
        <w:rPr>
          <w:rFonts w:hint="eastAsia" w:ascii="宋体" w:hAnsi="宋体" w:eastAsia="宋体"/>
          <w:b/>
          <w:sz w:val="36"/>
          <w:highlight w:val="none"/>
          <w:u w:val="single"/>
        </w:rPr>
        <w:t xml:space="preserve"> </w:t>
      </w:r>
      <w:r>
        <w:rPr>
          <w:rFonts w:hint="eastAsia" w:ascii="宋体" w:hAnsi="宋体" w:eastAsia="宋体"/>
          <w:b/>
          <w:sz w:val="36"/>
          <w:highlight w:val="none"/>
        </w:rPr>
        <w:t>月</w:t>
      </w:r>
      <w:r>
        <w:rPr>
          <w:rFonts w:ascii="宋体" w:hAnsi="宋体" w:eastAsia="宋体"/>
          <w:b/>
          <w:sz w:val="36"/>
          <w:highlight w:val="none"/>
        </w:rPr>
        <w:br w:type="page"/>
      </w:r>
    </w:p>
    <w:p>
      <w:pPr>
        <w:tabs>
          <w:tab w:val="left" w:pos="2410"/>
        </w:tabs>
        <w:autoSpaceDE w:val="0"/>
        <w:autoSpaceDN w:val="0"/>
        <w:adjustRightInd w:val="0"/>
        <w:snapToGrid w:val="0"/>
        <w:spacing w:line="360" w:lineRule="auto"/>
        <w:jc w:val="center"/>
        <w:rPr>
          <w:rFonts w:ascii="宋体" w:hAnsi="宋体" w:eastAsia="宋体"/>
          <w:b/>
          <w:sz w:val="28"/>
          <w:highlight w:val="none"/>
        </w:rPr>
      </w:pPr>
      <w:r>
        <w:rPr>
          <w:rFonts w:hint="eastAsia" w:ascii="宋体" w:hAnsi="宋体" w:eastAsia="宋体"/>
          <w:b/>
          <w:sz w:val="28"/>
          <w:highlight w:val="none"/>
        </w:rPr>
        <w:t>目  录</w:t>
      </w:r>
    </w:p>
    <w:p>
      <w:pPr>
        <w:tabs>
          <w:tab w:val="left" w:pos="2410"/>
        </w:tabs>
        <w:autoSpaceDE w:val="0"/>
        <w:autoSpaceDN w:val="0"/>
        <w:adjustRightInd w:val="0"/>
        <w:snapToGrid w:val="0"/>
        <w:spacing w:line="360" w:lineRule="auto"/>
        <w:jc w:val="center"/>
        <w:rPr>
          <w:rFonts w:ascii="宋体" w:hAnsi="宋体" w:eastAsia="宋体"/>
          <w:b/>
          <w:sz w:val="28"/>
          <w:highlight w:val="none"/>
        </w:rPr>
      </w:pPr>
    </w:p>
    <w:p>
      <w:pPr>
        <w:pStyle w:val="20"/>
        <w:tabs>
          <w:tab w:val="right" w:leader="dot" w:pos="8269"/>
        </w:tabs>
        <w:rPr>
          <w:kern w:val="2"/>
          <w:sz w:val="21"/>
          <w:highlight w:val="none"/>
        </w:rPr>
      </w:pPr>
      <w:r>
        <w:rPr>
          <w:rFonts w:asciiTheme="minorEastAsia" w:hAnsiTheme="minorEastAsia"/>
          <w:b/>
          <w:sz w:val="24"/>
          <w:szCs w:val="24"/>
          <w:highlight w:val="none"/>
        </w:rPr>
        <w:fldChar w:fldCharType="begin"/>
      </w:r>
      <w:r>
        <w:rPr>
          <w:rFonts w:asciiTheme="minorEastAsia" w:hAnsiTheme="minorEastAsia"/>
          <w:b/>
          <w:sz w:val="24"/>
          <w:szCs w:val="24"/>
          <w:highlight w:val="none"/>
        </w:rPr>
        <w:instrText xml:space="preserve"> </w:instrText>
      </w:r>
      <w:r>
        <w:rPr>
          <w:rFonts w:hint="eastAsia" w:asciiTheme="minorEastAsia" w:hAnsiTheme="minorEastAsia"/>
          <w:b/>
          <w:sz w:val="24"/>
          <w:szCs w:val="24"/>
          <w:highlight w:val="none"/>
        </w:rPr>
        <w:instrText xml:space="preserve">TOC \o "1-2" \h \z \u</w:instrText>
      </w:r>
      <w:r>
        <w:rPr>
          <w:rFonts w:asciiTheme="minorEastAsia" w:hAnsiTheme="minorEastAsia"/>
          <w:b/>
          <w:sz w:val="24"/>
          <w:szCs w:val="24"/>
          <w:highlight w:val="none"/>
        </w:rPr>
        <w:instrText xml:space="preserve"> </w:instrText>
      </w:r>
      <w:r>
        <w:rPr>
          <w:rFonts w:asciiTheme="minorEastAsia" w:hAnsiTheme="minorEastAsia"/>
          <w:b/>
          <w:sz w:val="24"/>
          <w:szCs w:val="24"/>
          <w:highlight w:val="none"/>
        </w:rPr>
        <w:fldChar w:fldCharType="separate"/>
      </w:r>
      <w:r>
        <w:rPr>
          <w:highlight w:val="none"/>
        </w:rPr>
        <w:fldChar w:fldCharType="begin"/>
      </w:r>
      <w:r>
        <w:rPr>
          <w:highlight w:val="none"/>
        </w:rPr>
        <w:instrText xml:space="preserve"> HYPERLINK \l "_Toc26638970" </w:instrText>
      </w:r>
      <w:r>
        <w:rPr>
          <w:highlight w:val="none"/>
        </w:rPr>
        <w:fldChar w:fldCharType="separate"/>
      </w:r>
      <w:r>
        <w:rPr>
          <w:rStyle w:val="30"/>
          <w:rFonts w:hint="eastAsia" w:asciiTheme="minorEastAsia" w:hAnsiTheme="minorEastAsia"/>
          <w:b/>
          <w:color w:val="auto"/>
          <w:highlight w:val="none"/>
        </w:rPr>
        <w:t>第一章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lang w:eastAsia="zh-CN"/>
        </w:rPr>
        <w:t>磋商公告</w:t>
      </w:r>
      <w:r>
        <w:rPr>
          <w:highlight w:val="none"/>
        </w:rPr>
        <w:tab/>
      </w:r>
      <w:r>
        <w:rPr>
          <w:highlight w:val="none"/>
        </w:rPr>
        <w:fldChar w:fldCharType="begin"/>
      </w:r>
      <w:r>
        <w:rPr>
          <w:highlight w:val="none"/>
        </w:rPr>
        <w:instrText xml:space="preserve"> PAGEREF _Toc26638970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"_Toc26638971" </w:instrText>
      </w:r>
      <w:r>
        <w:rPr>
          <w:highlight w:val="none"/>
        </w:rPr>
        <w:fldChar w:fldCharType="separate"/>
      </w:r>
      <w:r>
        <w:rPr>
          <w:rStyle w:val="30"/>
          <w:rFonts w:hint="eastAsia" w:asciiTheme="minorEastAsia" w:hAnsiTheme="minorEastAsia"/>
          <w:b/>
          <w:color w:val="auto"/>
          <w:highlight w:val="none"/>
        </w:rPr>
        <w:t>第二章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供应商须知</w:t>
      </w:r>
      <w:r>
        <w:rPr>
          <w:highlight w:val="none"/>
        </w:rPr>
        <w:tab/>
      </w:r>
      <w:r>
        <w:rPr>
          <w:highlight w:val="none"/>
        </w:rPr>
        <w:fldChar w:fldCharType="begin"/>
      </w:r>
      <w:r>
        <w:rPr>
          <w:highlight w:val="none"/>
        </w:rPr>
        <w:instrText xml:space="preserve"> PAGEREF _Toc26638971 \h </w:instrText>
      </w:r>
      <w:r>
        <w:rPr>
          <w:highlight w:val="none"/>
        </w:rPr>
        <w:fldChar w:fldCharType="separate"/>
      </w:r>
      <w:r>
        <w:rPr>
          <w:highlight w:val="none"/>
        </w:rPr>
        <w:t>6</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"_Toc26638972" </w:instrText>
      </w:r>
      <w:r>
        <w:rPr>
          <w:highlight w:val="none"/>
        </w:rPr>
        <w:fldChar w:fldCharType="separate"/>
      </w:r>
      <w:r>
        <w:rPr>
          <w:rStyle w:val="30"/>
          <w:rFonts w:hint="eastAsia" w:asciiTheme="minorEastAsia" w:hAnsiTheme="minorEastAsia"/>
          <w:b/>
          <w:color w:val="auto"/>
          <w:highlight w:val="none"/>
        </w:rPr>
        <w:t>第三章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采购需求</w:t>
      </w:r>
      <w:r>
        <w:rPr>
          <w:highlight w:val="none"/>
        </w:rPr>
        <w:tab/>
      </w:r>
      <w:r>
        <w:rPr>
          <w:highlight w:val="none"/>
        </w:rPr>
        <w:fldChar w:fldCharType="begin"/>
      </w:r>
      <w:r>
        <w:rPr>
          <w:highlight w:val="none"/>
        </w:rPr>
        <w:instrText xml:space="preserve"> PAGEREF _Toc26638972 \h </w:instrText>
      </w:r>
      <w:r>
        <w:rPr>
          <w:highlight w:val="none"/>
        </w:rPr>
        <w:fldChar w:fldCharType="separate"/>
      </w:r>
      <w:r>
        <w:rPr>
          <w:highlight w:val="none"/>
        </w:rPr>
        <w:t>21</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"_Toc26638973" </w:instrText>
      </w:r>
      <w:r>
        <w:rPr>
          <w:highlight w:val="none"/>
        </w:rPr>
        <w:fldChar w:fldCharType="separate"/>
      </w:r>
      <w:r>
        <w:rPr>
          <w:rStyle w:val="30"/>
          <w:rFonts w:hint="eastAsia" w:asciiTheme="minorEastAsia" w:hAnsiTheme="minorEastAsia"/>
          <w:b/>
          <w:color w:val="auto"/>
          <w:highlight w:val="none"/>
        </w:rPr>
        <w:t>第四章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评审方法和标准</w:t>
      </w:r>
      <w:r>
        <w:rPr>
          <w:highlight w:val="none"/>
        </w:rPr>
        <w:tab/>
      </w:r>
      <w:r>
        <w:rPr>
          <w:highlight w:val="none"/>
        </w:rPr>
        <w:fldChar w:fldCharType="begin"/>
      </w:r>
      <w:r>
        <w:rPr>
          <w:highlight w:val="none"/>
        </w:rPr>
        <w:instrText xml:space="preserve"> PAGEREF _Toc26638973 \h </w:instrText>
      </w:r>
      <w:r>
        <w:rPr>
          <w:highlight w:val="none"/>
        </w:rPr>
        <w:fldChar w:fldCharType="separate"/>
      </w:r>
      <w:r>
        <w:rPr>
          <w:highlight w:val="none"/>
        </w:rPr>
        <w:t>24</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"_Toc26638974" </w:instrText>
      </w:r>
      <w:r>
        <w:rPr>
          <w:highlight w:val="none"/>
        </w:rPr>
        <w:fldChar w:fldCharType="separate"/>
      </w:r>
      <w:r>
        <w:rPr>
          <w:rStyle w:val="30"/>
          <w:rFonts w:hint="eastAsia" w:asciiTheme="minorEastAsia" w:hAnsiTheme="minorEastAsia"/>
          <w:b/>
          <w:color w:val="auto"/>
          <w:highlight w:val="none"/>
        </w:rPr>
        <w:t>第五章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政府采购合同</w:t>
      </w:r>
      <w:r>
        <w:rPr>
          <w:highlight w:val="none"/>
        </w:rPr>
        <w:tab/>
      </w:r>
      <w:r>
        <w:rPr>
          <w:highlight w:val="none"/>
        </w:rPr>
        <w:fldChar w:fldCharType="begin"/>
      </w:r>
      <w:r>
        <w:rPr>
          <w:highlight w:val="none"/>
        </w:rPr>
        <w:instrText xml:space="preserve"> PAGEREF _Toc26638974 \h </w:instrText>
      </w:r>
      <w:r>
        <w:rPr>
          <w:highlight w:val="none"/>
        </w:rPr>
        <w:fldChar w:fldCharType="separate"/>
      </w:r>
      <w:r>
        <w:rPr>
          <w:highlight w:val="none"/>
        </w:rPr>
        <w:t>28</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"_Toc26638975" </w:instrText>
      </w:r>
      <w:r>
        <w:rPr>
          <w:highlight w:val="none"/>
        </w:rPr>
        <w:fldChar w:fldCharType="separate"/>
      </w:r>
      <w:r>
        <w:rPr>
          <w:rStyle w:val="30"/>
          <w:rFonts w:hint="eastAsia" w:asciiTheme="minorEastAsia" w:hAnsiTheme="minorEastAsia"/>
          <w:b/>
          <w:color w:val="auto"/>
          <w:highlight w:val="none"/>
        </w:rPr>
        <w:t>第六章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响应文件格式</w:t>
      </w:r>
      <w:r>
        <w:rPr>
          <w:highlight w:val="none"/>
        </w:rPr>
        <w:tab/>
      </w:r>
      <w:r>
        <w:rPr>
          <w:highlight w:val="none"/>
        </w:rPr>
        <w:fldChar w:fldCharType="begin"/>
      </w:r>
      <w:r>
        <w:rPr>
          <w:highlight w:val="none"/>
        </w:rPr>
        <w:instrText xml:space="preserve"> PAGEREF _Toc26638975 \h </w:instrText>
      </w:r>
      <w:r>
        <w:rPr>
          <w:highlight w:val="none"/>
        </w:rPr>
        <w:fldChar w:fldCharType="separate"/>
      </w:r>
      <w:r>
        <w:rPr>
          <w:highlight w:val="none"/>
        </w:rPr>
        <w:t>38</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"_Toc26638977" </w:instrText>
      </w:r>
      <w:r>
        <w:rPr>
          <w:highlight w:val="none"/>
        </w:rPr>
        <w:fldChar w:fldCharType="separate"/>
      </w:r>
      <w:r>
        <w:rPr>
          <w:rStyle w:val="30"/>
          <w:rFonts w:hint="eastAsia" w:ascii="宋体" w:hAnsi="宋体" w:eastAsia="宋体"/>
          <w:b/>
          <w:bCs/>
          <w:color w:val="auto"/>
          <w:highlight w:val="none"/>
        </w:rPr>
        <w:t>第</w:t>
      </w:r>
      <w:r>
        <w:rPr>
          <w:rStyle w:val="30"/>
          <w:rFonts w:hint="eastAsia" w:ascii="宋体" w:hAnsi="宋体" w:eastAsia="宋体"/>
          <w:b/>
          <w:bCs/>
          <w:color w:val="auto"/>
          <w:highlight w:val="none"/>
          <w:lang w:eastAsia="zh-CN"/>
        </w:rPr>
        <w:t>七</w:t>
      </w:r>
      <w:r>
        <w:rPr>
          <w:rStyle w:val="30"/>
          <w:rFonts w:hint="eastAsia" w:ascii="宋体" w:hAnsi="宋体" w:eastAsia="宋体"/>
          <w:b/>
          <w:bCs/>
          <w:color w:val="auto"/>
          <w:highlight w:val="none"/>
        </w:rPr>
        <w:t>章</w:t>
      </w:r>
      <w:r>
        <w:rPr>
          <w:rStyle w:val="30"/>
          <w:rFonts w:ascii="宋体" w:hAnsi="宋体" w:eastAsia="宋体"/>
          <w:b/>
          <w:bCs/>
          <w:color w:val="auto"/>
          <w:highlight w:val="none"/>
        </w:rPr>
        <w:t xml:space="preserve">  </w:t>
      </w:r>
      <w:r>
        <w:rPr>
          <w:rStyle w:val="30"/>
          <w:rFonts w:hint="eastAsia" w:ascii="宋体" w:hAnsi="宋体" w:eastAsia="宋体"/>
          <w:b/>
          <w:bCs/>
          <w:color w:val="auto"/>
          <w:highlight w:val="none"/>
        </w:rPr>
        <w:t>政府采购</w:t>
      </w:r>
      <w:r>
        <w:rPr>
          <w:rStyle w:val="30"/>
          <w:rFonts w:hint="eastAsia" w:asciiTheme="minorEastAsia" w:hAnsiTheme="minorEastAsia"/>
          <w:b/>
          <w:color w:val="auto"/>
          <w:highlight w:val="none"/>
        </w:rPr>
        <w:t>供应</w:t>
      </w:r>
      <w:r>
        <w:rPr>
          <w:rStyle w:val="30"/>
          <w:rFonts w:hint="eastAsia" w:ascii="宋体" w:hAnsi="宋体" w:eastAsia="宋体"/>
          <w:b/>
          <w:bCs/>
          <w:color w:val="auto"/>
          <w:highlight w:val="none"/>
        </w:rPr>
        <w:t>商质疑函范本</w:t>
      </w:r>
      <w:r>
        <w:rPr>
          <w:highlight w:val="none"/>
        </w:rPr>
        <w:tab/>
      </w:r>
      <w:r>
        <w:rPr>
          <w:highlight w:val="none"/>
        </w:rPr>
        <w:fldChar w:fldCharType="begin"/>
      </w:r>
      <w:r>
        <w:rPr>
          <w:highlight w:val="none"/>
        </w:rPr>
        <w:instrText xml:space="preserve"> PAGEREF _Toc26638977 \h </w:instrText>
      </w:r>
      <w:r>
        <w:rPr>
          <w:highlight w:val="none"/>
        </w:rPr>
        <w:fldChar w:fldCharType="separate"/>
      </w:r>
      <w:r>
        <w:rPr>
          <w:highlight w:val="none"/>
        </w:rPr>
        <w:t>50</w:t>
      </w:r>
      <w:r>
        <w:rPr>
          <w:highlight w:val="none"/>
        </w:rPr>
        <w:fldChar w:fldCharType="end"/>
      </w:r>
      <w:r>
        <w:rPr>
          <w:highlight w:val="none"/>
        </w:rPr>
        <w:fldChar w:fldCharType="end"/>
      </w:r>
    </w:p>
    <w:p>
      <w:pPr>
        <w:pStyle w:val="20"/>
        <w:tabs>
          <w:tab w:val="right" w:leader="dot" w:pos="8296"/>
        </w:tabs>
        <w:ind w:left="0"/>
        <w:rPr>
          <w:rFonts w:asciiTheme="minorEastAsia" w:hAnsiTheme="minorEastAsia"/>
          <w:b/>
          <w:sz w:val="32"/>
          <w:highlight w:val="none"/>
        </w:rPr>
      </w:pPr>
      <w:r>
        <w:rPr>
          <w:rFonts w:asciiTheme="minorEastAsia" w:hAnsiTheme="minorEastAsia"/>
          <w:b/>
          <w:sz w:val="24"/>
          <w:szCs w:val="24"/>
          <w:highlight w:val="none"/>
        </w:rPr>
        <w:fldChar w:fldCharType="end"/>
      </w:r>
    </w:p>
    <w:p>
      <w:pPr>
        <w:rPr>
          <w:highlight w:val="none"/>
        </w:rPr>
      </w:pPr>
    </w:p>
    <w:p>
      <w:pPr>
        <w:spacing w:line="360" w:lineRule="auto"/>
        <w:jc w:val="center"/>
        <w:outlineLvl w:val="1"/>
        <w:rPr>
          <w:rFonts w:asciiTheme="minorEastAsia" w:hAnsiTheme="minorEastAsia" w:eastAsiaTheme="minorEastAsia"/>
          <w:b/>
          <w:sz w:val="28"/>
          <w:highlight w:val="none"/>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highlight w:val="none"/>
          <w:lang w:eastAsia="zh-CN"/>
        </w:rPr>
      </w:pPr>
      <w:bookmarkStart w:id="1" w:name="_Toc26638970"/>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bookmarkEnd w:id="1"/>
      <w:r>
        <w:rPr>
          <w:rFonts w:hint="eastAsia" w:asciiTheme="minorEastAsia" w:hAnsiTheme="minorEastAsia" w:eastAsiaTheme="minorEastAsia"/>
          <w:b/>
          <w:sz w:val="28"/>
          <w:highlight w:val="none"/>
          <w:lang w:eastAsia="zh-CN"/>
        </w:rPr>
        <w:t>磋商公告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r>
        <w:rPr>
          <w:rFonts w:hint="eastAsia" w:ascii="宋体" w:hAnsi="宋体" w:eastAsia="宋体" w:cs="宋体"/>
          <w:b/>
          <w:bCs/>
          <w:i w:val="0"/>
          <w:iCs w:val="0"/>
          <w:caps w:val="0"/>
          <w:color w:val="333333"/>
          <w:spacing w:val="0"/>
          <w:sz w:val="44"/>
          <w:szCs w:val="44"/>
          <w:highlight w:val="none"/>
          <w:shd w:val="clear" w:fill="FFFFFF"/>
          <w:lang w:val="en-US" w:eastAsia="zh-CN"/>
        </w:rPr>
        <w:t>巢湖市金盾驾校全功能智能化考场设备采购及安装竞争性磋商公告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ascii="黑体" w:hAnsi="宋体" w:eastAsia="黑体" w:cs="黑体"/>
          <w:b w:val="0"/>
          <w:bCs w:val="0"/>
          <w:i w:val="0"/>
          <w:iCs w:val="0"/>
          <w:caps w:val="0"/>
          <w:color w:val="333333"/>
          <w:spacing w:val="0"/>
          <w:sz w:val="28"/>
          <w:szCs w:val="28"/>
          <w:highlight w:val="none"/>
          <w:shd w:val="clear" w:fill="FFFFFF"/>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2024AHTS0013</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巢湖市金盾驾校全功能智能化考场设备采购及安装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14.80万元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14.80万元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巢湖市金盾驾校全功能智能化考场设备采购及安装</w:t>
      </w:r>
      <w:r>
        <w:rPr>
          <w:rFonts w:hint="eastAsia" w:ascii="仿宋" w:hAnsi="仿宋" w:eastAsia="仿宋" w:cs="仿宋"/>
          <w:i w:val="0"/>
          <w:iCs w:val="0"/>
          <w:caps w:val="0"/>
          <w:color w:val="333333"/>
          <w:spacing w:val="0"/>
          <w:sz w:val="28"/>
          <w:szCs w:val="28"/>
          <w:highlight w:val="none"/>
          <w:u w:val="none"/>
          <w:shd w:val="clear" w:fill="FFFFFF"/>
        </w:rPr>
        <w:t>，详见磋商文件。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合同履行期限：</w:t>
      </w:r>
      <w:r>
        <w:rPr>
          <w:rFonts w:hint="eastAsia" w:ascii="仿宋" w:hAnsi="仿宋" w:eastAsia="仿宋" w:cs="仿宋"/>
          <w:i w:val="0"/>
          <w:iCs w:val="0"/>
          <w:caps w:val="0"/>
          <w:color w:val="333333"/>
          <w:spacing w:val="0"/>
          <w:sz w:val="28"/>
          <w:szCs w:val="28"/>
          <w:highlight w:val="none"/>
          <w:u w:val="none"/>
          <w:shd w:val="clear" w:fill="FFFFFF"/>
          <w:lang w:val="en-US" w:eastAsia="zh-CN"/>
        </w:rPr>
        <w:t>自</w:t>
      </w:r>
      <w:r>
        <w:rPr>
          <w:rFonts w:hint="eastAsia" w:ascii="仿宋" w:hAnsi="仿宋" w:eastAsia="仿宋" w:cs="仿宋"/>
          <w:i w:val="0"/>
          <w:iCs w:val="0"/>
          <w:caps w:val="0"/>
          <w:color w:val="333333"/>
          <w:spacing w:val="0"/>
          <w:sz w:val="28"/>
          <w:szCs w:val="28"/>
          <w:highlight w:val="none"/>
          <w:u w:val="none"/>
          <w:shd w:val="clear" w:fill="FFFFFF"/>
        </w:rPr>
        <w:t>合同签订</w:t>
      </w:r>
      <w:r>
        <w:rPr>
          <w:rFonts w:hint="eastAsia" w:ascii="仿宋" w:hAnsi="仿宋" w:eastAsia="仿宋" w:cs="仿宋"/>
          <w:i w:val="0"/>
          <w:iCs w:val="0"/>
          <w:caps w:val="0"/>
          <w:color w:val="333333"/>
          <w:spacing w:val="0"/>
          <w:sz w:val="28"/>
          <w:szCs w:val="28"/>
          <w:highlight w:val="none"/>
          <w:u w:val="none"/>
          <w:shd w:val="clear" w:fill="FFFFFF"/>
          <w:lang w:val="en-US" w:eastAsia="zh-CN"/>
        </w:rPr>
        <w:t>之日起</w:t>
      </w:r>
      <w:r>
        <w:rPr>
          <w:rFonts w:hint="eastAsia" w:ascii="仿宋" w:hAnsi="仿宋" w:eastAsia="仿宋" w:cs="仿宋"/>
          <w:i w:val="0"/>
          <w:iCs w:val="0"/>
          <w:caps w:val="0"/>
          <w:color w:val="333333"/>
          <w:spacing w:val="0"/>
          <w:sz w:val="28"/>
          <w:szCs w:val="28"/>
          <w:highlight w:val="none"/>
          <w:u w:val="none"/>
          <w:shd w:val="clear" w:fill="FFFFFF"/>
          <w:lang w:eastAsia="zh-CN"/>
        </w:rPr>
        <w:t>15个日历天</w:t>
      </w:r>
      <w:r>
        <w:rPr>
          <w:rFonts w:hint="eastAsia" w:ascii="仿宋" w:hAnsi="仿宋" w:eastAsia="仿宋" w:cs="仿宋"/>
          <w:i w:val="0"/>
          <w:iCs w:val="0"/>
          <w:caps w:val="0"/>
          <w:color w:val="333333"/>
          <w:spacing w:val="0"/>
          <w:sz w:val="28"/>
          <w:szCs w:val="28"/>
          <w:highlight w:val="none"/>
          <w:u w:val="none"/>
          <w:shd w:val="clear" w:fill="FFFFFF"/>
        </w:rPr>
        <w:t>内</w:t>
      </w:r>
      <w:r>
        <w:rPr>
          <w:rFonts w:hint="eastAsia" w:ascii="仿宋" w:hAnsi="仿宋" w:eastAsia="仿宋" w:cs="仿宋"/>
          <w:i w:val="0"/>
          <w:iCs w:val="0"/>
          <w:caps w:val="0"/>
          <w:color w:val="333333"/>
          <w:spacing w:val="0"/>
          <w:sz w:val="28"/>
          <w:szCs w:val="28"/>
          <w:highlight w:val="none"/>
          <w:u w:val="none"/>
          <w:shd w:val="clear" w:fill="FFFFFF"/>
          <w:lang w:val="en-US" w:eastAsia="zh-CN"/>
        </w:rPr>
        <w:t>完成供货及安装</w:t>
      </w:r>
      <w:r>
        <w:rPr>
          <w:rFonts w:hint="eastAsia" w:ascii="仿宋" w:hAnsi="仿宋" w:eastAsia="仿宋" w:cs="仿宋"/>
          <w:i w:val="0"/>
          <w:iCs w:val="0"/>
          <w:caps w:val="0"/>
          <w:color w:val="333333"/>
          <w:spacing w:val="0"/>
          <w:sz w:val="28"/>
          <w:szCs w:val="28"/>
          <w:highlight w:val="none"/>
          <w:u w:val="none"/>
          <w:shd w:val="clear" w:fill="FFFFFF"/>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仿宋" w:cs="微软雅黑"/>
          <w:i w:val="0"/>
          <w:iCs w:val="0"/>
          <w:caps w:val="0"/>
          <w:color w:val="333333"/>
          <w:spacing w:val="0"/>
          <w:sz w:val="28"/>
          <w:szCs w:val="28"/>
          <w:highlight w:val="none"/>
          <w:lang w:val="en-US" w:eastAsia="zh-CN"/>
        </w:rPr>
      </w:pPr>
      <w:r>
        <w:rPr>
          <w:rFonts w:hint="eastAsia" w:ascii="仿宋" w:hAnsi="仿宋" w:eastAsia="仿宋" w:cs="仿宋"/>
          <w:i w:val="0"/>
          <w:iCs w:val="0"/>
          <w:caps w:val="0"/>
          <w:color w:val="333333"/>
          <w:spacing w:val="0"/>
          <w:sz w:val="28"/>
          <w:szCs w:val="28"/>
          <w:highlight w:val="none"/>
          <w:u w:val="none"/>
          <w:shd w:val="clear" w:fill="FFFFFF"/>
        </w:rPr>
        <w:t>3.本项目的特定资格要求：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三、获取采购文件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1.获取时间：自本公告发布之日起，登陆“</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四、响应文件提交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7</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7</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六、公告期限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七、其他补充事宜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八、凡对本次采购提出询问，请按以下方式联系</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名    称：</w:t>
      </w:r>
      <w:r>
        <w:rPr>
          <w:rFonts w:hint="eastAsia" w:ascii="仿宋" w:hAnsi="仿宋" w:eastAsia="仿宋" w:cs="仿宋"/>
          <w:i w:val="0"/>
          <w:iCs w:val="0"/>
          <w:caps w:val="0"/>
          <w:color w:val="333333"/>
          <w:spacing w:val="0"/>
          <w:sz w:val="28"/>
          <w:szCs w:val="28"/>
          <w:highlight w:val="none"/>
          <w:u w:val="none"/>
          <w:shd w:val="clear" w:fill="FFFFFF"/>
          <w:lang w:eastAsia="zh-CN"/>
        </w:rPr>
        <w:t>巢湖市金盾机动车驾驶员培训学校有限公司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联系方式：杨总 13905657273、陶科长 13625632613</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rPr>
          <w:rFonts w:hint="eastAsia" w:asciiTheme="minorEastAsia" w:hAnsiTheme="minorEastAsia" w:eastAsiaTheme="minorEastAsia" w:cstheme="minorEastAsia"/>
          <w:b/>
          <w:color w:val="FF0000"/>
          <w:sz w:val="44"/>
          <w:szCs w:val="32"/>
          <w:highlight w:val="none"/>
        </w:rPr>
      </w:pPr>
      <w:bookmarkStart w:id="2" w:name="_Toc26638971"/>
      <w:r>
        <w:rPr>
          <w:rFonts w:hint="eastAsia" w:asciiTheme="minorEastAsia" w:hAnsiTheme="minorEastAsia" w:eastAsiaTheme="minorEastAsia" w:cstheme="minorEastAsia"/>
          <w:b/>
          <w:color w:val="FF0000"/>
          <w:sz w:val="44"/>
          <w:szCs w:val="32"/>
          <w:highlight w:val="none"/>
          <w:lang w:val="en-US" w:eastAsia="zh-CN"/>
        </w:rPr>
        <w:t>磋商</w:t>
      </w:r>
      <w:r>
        <w:rPr>
          <w:rFonts w:hint="eastAsia" w:asciiTheme="minorEastAsia" w:hAnsiTheme="minorEastAsia" w:eastAsiaTheme="minorEastAsia" w:cstheme="minorEastAsia"/>
          <w:b/>
          <w:color w:val="FF0000"/>
          <w:sz w:val="44"/>
          <w:szCs w:val="32"/>
          <w:highlight w:val="none"/>
        </w:rPr>
        <w:t>文件确认函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8"/>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巢湖市金盾驾校全功能智能化考场设备采购及安装</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2024AHTS0013</w:t>
      </w:r>
      <w:r>
        <w:rPr>
          <w:rFonts w:hint="eastAsia" w:asciiTheme="minorEastAsia" w:hAnsiTheme="minorEastAsia" w:eastAsiaTheme="minorEastAsia" w:cstheme="minorEastAsia"/>
          <w:kern w:val="0"/>
          <w:sz w:val="28"/>
          <w:szCs w:val="21"/>
          <w:highlight w:val="none"/>
        </w:rPr>
        <w:t>）磋商文件及相关附件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磋商</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8"/>
        <w:rPr>
          <w:rFonts w:hint="eastAsia" w:asciiTheme="minorEastAsia" w:hAnsiTheme="minorEastAsia" w:eastAsiaTheme="minorEastAsia" w:cstheme="minorEastAsia"/>
          <w:kern w:val="0"/>
          <w:sz w:val="24"/>
          <w:highlight w:val="none"/>
        </w:rPr>
      </w:pPr>
    </w:p>
    <w:p>
      <w:pPr>
        <w:pStyle w:val="13"/>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3"/>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3"/>
        <w:rPr>
          <w:rFonts w:hint="eastAsia" w:asciiTheme="minorEastAsia" w:hAnsiTheme="minorEastAsia" w:eastAsiaTheme="minorEastAsia" w:cstheme="minorEastAsia"/>
          <w:kern w:val="0"/>
          <w:sz w:val="24"/>
          <w:highlight w:val="none"/>
        </w:rPr>
      </w:pPr>
    </w:p>
    <w:p>
      <w:pPr>
        <w:pStyle w:val="8"/>
        <w:rPr>
          <w:rFonts w:hint="eastAsia"/>
          <w:highlight w:val="none"/>
          <w:u w:val="none"/>
        </w:rPr>
      </w:pPr>
    </w:p>
    <w:p>
      <w:pPr>
        <w:pStyle w:val="8"/>
        <w:rPr>
          <w:rFonts w:hint="default" w:asciiTheme="minorEastAsia" w:hAnsiTheme="minorEastAsia" w:eastAsiaTheme="minorEastAsia" w:cstheme="minorEastAsia"/>
          <w:b/>
          <w:bCs/>
          <w:kern w:val="0"/>
          <w:sz w:val="24"/>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注：请潜在供应商在2024年4月1日23时59分前，将此“磋商文件确认函”填写完整并加盖公章扫描后，发至此邮箱（1093598889@qq.com）。逾期未发送的，视为不参加本次磋商，磋商时将不接受其响应文件。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供应商</w:t>
      </w:r>
      <w:r>
        <w:rPr>
          <w:rFonts w:asciiTheme="minorEastAsia" w:hAnsiTheme="minorEastAsia" w:eastAsiaTheme="minorEastAsia"/>
          <w:b/>
          <w:sz w:val="28"/>
          <w:highlight w:val="none"/>
        </w:rPr>
        <w:t>须知</w:t>
      </w:r>
      <w:bookmarkEnd w:id="2"/>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须知前附表</w:t>
      </w:r>
    </w:p>
    <w:p>
      <w:pPr>
        <w:spacing w:line="360" w:lineRule="auto"/>
        <w:ind w:firstLine="435"/>
        <w:rPr>
          <w:rFonts w:ascii="宋体" w:hAnsi="宋体" w:eastAsia="宋体"/>
          <w:sz w:val="24"/>
          <w:szCs w:val="18"/>
          <w:highlight w:val="none"/>
        </w:rPr>
      </w:pPr>
      <w:r>
        <w:rPr>
          <w:rFonts w:hint="eastAsia" w:ascii="宋体" w:hAnsi="宋体" w:eastAsia="宋体"/>
          <w:b/>
          <w:bCs/>
          <w:sz w:val="24"/>
          <w:szCs w:val="18"/>
          <w:highlight w:val="none"/>
        </w:rPr>
        <w:t>注：</w:t>
      </w:r>
      <w:r>
        <w:rPr>
          <w:rFonts w:hint="eastAsia" w:ascii="宋体" w:hAnsi="宋体" w:eastAsia="宋体"/>
          <w:sz w:val="24"/>
          <w:szCs w:val="18"/>
          <w:highlight w:val="none"/>
        </w:rPr>
        <w:t>本表是本项目的具体要求，是对供应商须知的具体补充和修改，如有不一致，以本表为准。</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590"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条款号</w:t>
            </w:r>
          </w:p>
        </w:tc>
        <w:tc>
          <w:tcPr>
            <w:tcW w:w="1192"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条款名称</w:t>
            </w:r>
          </w:p>
        </w:tc>
        <w:tc>
          <w:tcPr>
            <w:tcW w:w="3217"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采购人</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kern w:val="2"/>
                <w:sz w:val="24"/>
                <w:szCs w:val="20"/>
                <w:highlight w:val="none"/>
                <w:u w:val="none"/>
                <w:lang w:eastAsia="zh-CN"/>
              </w:rPr>
            </w:pPr>
            <w:r>
              <w:rPr>
                <w:rFonts w:hint="eastAsia" w:asciiTheme="minorEastAsia" w:hAnsiTheme="minorEastAsia" w:eastAsiaTheme="minorEastAsia" w:cstheme="minorEastAsia"/>
                <w:b w:val="0"/>
                <w:bCs w:val="0"/>
                <w:sz w:val="24"/>
                <w:szCs w:val="18"/>
                <w:highlight w:val="none"/>
                <w:u w:val="none"/>
                <w:lang w:eastAsia="zh-CN"/>
              </w:rPr>
              <w:t>巢湖市金盾机动车驾驶员培训学校有限公司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3.2</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采购代理机构</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u w:val="none"/>
                <w:lang w:eastAsia="zh-CN"/>
              </w:rPr>
            </w:pPr>
            <w:r>
              <w:rPr>
                <w:rFonts w:hint="eastAsia" w:asciiTheme="minorEastAsia" w:hAnsiTheme="minorEastAsia" w:eastAsiaTheme="minorEastAsia" w:cstheme="minorEastAsia"/>
                <w:b w:val="0"/>
                <w:bCs w:val="0"/>
                <w:sz w:val="24"/>
                <w:szCs w:val="18"/>
                <w:highlight w:val="none"/>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3.4.4</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是否允许采购进口产品</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u w:val="none"/>
              </w:rPr>
            </w:pPr>
            <w:r>
              <w:rPr>
                <w:rFonts w:hint="eastAsia" w:asciiTheme="minorEastAsia" w:hAnsiTheme="minorEastAsia" w:eastAsiaTheme="minorEastAsia" w:cs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3.4.5</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是否为专门面向中小企业采购</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rPr>
            </w:pPr>
            <w:r>
              <w:rPr>
                <w:rFonts w:hint="eastAsia" w:asciiTheme="minorEastAsia" w:hAnsiTheme="minorEastAsia" w:eastAsiaTheme="minorEastAsia" w:cstheme="minorEastAsia"/>
                <w:b w:val="0"/>
                <w:sz w:val="24"/>
                <w:highlight w:val="none"/>
              </w:rPr>
              <w:t xml:space="preserve">□是  </w:t>
            </w: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宋体" w:hAnsi="宋体" w:eastAsia="宋体"/>
                <w:bCs/>
                <w:kern w:val="2"/>
                <w:highlight w:val="none"/>
              </w:rPr>
              <w:t>3</w:t>
            </w:r>
            <w:r>
              <w:rPr>
                <w:rFonts w:ascii="宋体" w:hAnsi="宋体" w:eastAsia="宋体"/>
                <w:bCs/>
                <w:kern w:val="2"/>
                <w:highlight w:val="none"/>
              </w:rPr>
              <w:t>.5</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宋体" w:hAnsi="宋体" w:eastAsia="宋体"/>
                <w:b w:val="0"/>
                <w:sz w:val="24"/>
                <w:highlight w:val="none"/>
              </w:rPr>
              <w:t>是否允许联合体参加磋商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宋体" w:hAnsi="宋体" w:eastAsia="宋体"/>
                <w:b w:val="0"/>
                <w:sz w:val="24"/>
                <w:highlight w:val="none"/>
              </w:rPr>
              <w:t xml:space="preserve">□是  </w:t>
            </w:r>
            <w:r>
              <w:rPr>
                <w:rFonts w:ascii="宋体" w:hAnsi="宋体" w:eastAsia="宋体"/>
                <w:b/>
                <w:bCs/>
                <w:sz w:val="24"/>
                <w:szCs w:val="24"/>
                <w:highlight w:val="none"/>
              </w:rPr>
              <w:sym w:font="Wingdings 2" w:char="0052"/>
            </w:r>
            <w:r>
              <w:rPr>
                <w:rFonts w:hint="eastAsia" w:ascii="宋体" w:hAnsi="宋体" w:eastAsia="宋体"/>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7.3</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现场考察</w:t>
            </w:r>
          </w:p>
        </w:tc>
        <w:tc>
          <w:tcPr>
            <w:tcW w:w="3217" w:type="pct"/>
            <w:vAlign w:val="center"/>
          </w:tcPr>
          <w:p>
            <w:pPr>
              <w:spacing w:line="360" w:lineRule="auto"/>
              <w:rPr>
                <w:rFonts w:hint="eastAsia" w:asciiTheme="minorEastAsia" w:hAnsiTheme="minorEastAsia" w:eastAsiaTheme="minorEastAsia" w:cstheme="minorEastAsia"/>
                <w:b/>
                <w:bCs w:val="0"/>
                <w:sz w:val="24"/>
                <w:highlight w:val="none"/>
              </w:rPr>
            </w:pP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highlight w:val="none"/>
              </w:rPr>
              <w:t>不组织，供应商自行考察</w:t>
            </w:r>
          </w:p>
          <w:p>
            <w:pPr>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bCs/>
                <w:sz w:val="24"/>
                <w:highlight w:val="none"/>
              </w:rPr>
              <w:t>统一组织</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时间：</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年</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月</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日</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时</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分</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地点：</w:t>
            </w:r>
            <w:r>
              <w:rPr>
                <w:rFonts w:hint="eastAsia" w:asciiTheme="minorEastAsia" w:hAnsiTheme="minorEastAsia" w:eastAsiaTheme="minorEastAsia" w:cstheme="minorEastAsia"/>
                <w:bCs/>
                <w:sz w:val="24"/>
                <w:highlight w:val="none"/>
                <w:u w:val="single"/>
              </w:rPr>
              <w:t xml:space="preserve">                       </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现场考察联系人及联系电话：</w:t>
            </w:r>
            <w:r>
              <w:rPr>
                <w:rFonts w:hint="eastAsia" w:asciiTheme="minorEastAsia" w:hAnsiTheme="minorEastAsia" w:eastAsiaTheme="minorEastAsia" w:cstheme="minorEastAsia"/>
                <w:bCs/>
                <w:sz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Cs w:val="0"/>
                <w:sz w:val="24"/>
                <w:highlight w:val="none"/>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8.1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询问截止时间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2024</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年</w:t>
            </w:r>
            <w:r>
              <w:rPr>
                <w:rFonts w:hint="eastAsia" w:asciiTheme="minorEastAsia" w:hAnsiTheme="minorEastAsia" w:eastAsiaTheme="minorEastAsia" w:cstheme="minorEastAsia"/>
                <w:b w:val="0"/>
                <w:sz w:val="24"/>
                <w:highlight w:val="none"/>
                <w:u w:val="single"/>
                <w:lang w:val="en-US" w:eastAsia="zh-CN"/>
              </w:rPr>
              <w:t xml:space="preserve"> 4 </w:t>
            </w:r>
            <w:r>
              <w:rPr>
                <w:rFonts w:hint="eastAsia" w:asciiTheme="minorEastAsia" w:hAnsiTheme="minorEastAsia" w:eastAsiaTheme="minorEastAsia" w:cstheme="minorEastAsia"/>
                <w:b w:val="0"/>
                <w:sz w:val="24"/>
                <w:highlight w:val="none"/>
              </w:rPr>
              <w:t>月</w:t>
            </w:r>
            <w:r>
              <w:rPr>
                <w:rFonts w:hint="eastAsia" w:asciiTheme="minorEastAsia" w:hAnsiTheme="minorEastAsia" w:eastAsiaTheme="minorEastAsia" w:cstheme="minorEastAsia"/>
                <w:b w:val="0"/>
                <w:sz w:val="24"/>
                <w:highlight w:val="none"/>
                <w:u w:val="single"/>
                <w:lang w:val="en-US" w:eastAsia="zh-CN"/>
              </w:rPr>
              <w:t xml:space="preserve"> 2 </w:t>
            </w:r>
            <w:r>
              <w:rPr>
                <w:rFonts w:hint="eastAsia" w:asciiTheme="minorEastAsia" w:hAnsiTheme="minorEastAsia" w:eastAsiaTheme="minorEastAsia" w:cstheme="minorEastAsia"/>
                <w:b w:val="0"/>
                <w:sz w:val="24"/>
                <w:highlight w:val="none"/>
              </w:rPr>
              <w:t>日</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17</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时</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30</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9.1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包别划分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不分包</w:t>
            </w:r>
            <w:r>
              <w:rPr>
                <w:rFonts w:hint="eastAsia" w:asciiTheme="minorEastAsia" w:hAnsiTheme="minorEastAsia" w:eastAsiaTheme="minorEastAsia" w:cstheme="minorEastAsia"/>
                <w:b w:val="0"/>
                <w:sz w:val="24"/>
                <w:highlight w:val="none"/>
              </w:rPr>
              <w:t xml:space="preserve">     □分为  个包</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4"/>
                <w:highlight w:val="none"/>
              </w:rPr>
              <w:t>供应商参加多个包磋商的成交包数规定：</w:t>
            </w:r>
            <w:r>
              <w:rPr>
                <w:rFonts w:hint="eastAsia" w:asciiTheme="minorEastAsia" w:hAnsiTheme="minorEastAsia" w:eastAsiaTheme="minorEastAsia" w:cstheme="minorEastAsia"/>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13.1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磋商保证金</w:t>
            </w:r>
          </w:p>
        </w:tc>
        <w:tc>
          <w:tcPr>
            <w:tcW w:w="3217" w:type="pct"/>
            <w:vAlign w:val="center"/>
          </w:tcPr>
          <w:p>
            <w:pPr>
              <w:pStyle w:val="34"/>
              <w:widowControl w:val="0"/>
              <w:spacing w:before="0" w:beforeAutospacing="0" w:after="0" w:afterAutospacing="0" w:line="360" w:lineRule="auto"/>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rPr>
              <w:t>（1）金额：</w:t>
            </w:r>
          </w:p>
          <w:p>
            <w:pPr>
              <w:pStyle w:val="34"/>
              <w:widowControl w:val="0"/>
              <w:spacing w:before="0" w:beforeAutospacing="0" w:after="0" w:afterAutospacing="0" w:line="360" w:lineRule="auto"/>
              <w:jc w:val="both"/>
              <w:rPr>
                <w:rFonts w:ascii="宋体" w:hAnsi="宋体" w:eastAsia="宋体"/>
                <w:b w:val="0"/>
                <w:bCs w:val="0"/>
                <w:sz w:val="24"/>
                <w:highlight w:val="none"/>
              </w:rPr>
            </w:pPr>
            <w:r>
              <w:rPr>
                <w:rFonts w:ascii="宋体" w:hAnsi="宋体" w:eastAsia="宋体"/>
                <w:b w:val="0"/>
                <w:bCs w:val="0"/>
                <w:sz w:val="24"/>
                <w:szCs w:val="24"/>
                <w:highlight w:val="none"/>
              </w:rPr>
              <w:sym w:font="Wingdings 2" w:char="00A3"/>
            </w:r>
            <w:r>
              <w:rPr>
                <w:rFonts w:hint="eastAsia" w:ascii="宋体" w:hAnsi="宋体" w:eastAsia="宋体"/>
                <w:b w:val="0"/>
                <w:bCs w:val="0"/>
                <w:sz w:val="24"/>
                <w:highlight w:val="none"/>
              </w:rPr>
              <w:t>人民币</w:t>
            </w:r>
            <w:r>
              <w:rPr>
                <w:rFonts w:hint="eastAsia" w:ascii="宋体" w:hAnsi="宋体" w:eastAsia="宋体"/>
                <w:b w:val="0"/>
                <w:bCs w:val="0"/>
                <w:sz w:val="24"/>
                <w:highlight w:val="none"/>
                <w:u w:val="single"/>
                <w:lang w:val="en-US" w:eastAsia="zh-CN"/>
              </w:rPr>
              <w:t xml:space="preserve">  </w:t>
            </w:r>
            <w:r>
              <w:rPr>
                <w:rFonts w:ascii="宋体" w:hAnsi="宋体" w:eastAsia="宋体"/>
                <w:b w:val="0"/>
                <w:bCs w:val="0"/>
                <w:sz w:val="24"/>
                <w:highlight w:val="none"/>
              </w:rPr>
              <w:t>元</w:t>
            </w:r>
          </w:p>
          <w:p>
            <w:pPr>
              <w:pStyle w:val="34"/>
              <w:widowControl w:val="0"/>
              <w:spacing w:before="0" w:beforeAutospacing="0" w:after="0" w:afterAutospacing="0" w:line="360" w:lineRule="auto"/>
              <w:jc w:val="both"/>
              <w:rPr>
                <w:rFonts w:ascii="宋体" w:hAnsi="宋体" w:eastAsia="宋体"/>
                <w:b/>
                <w:bCs/>
                <w:sz w:val="24"/>
                <w:highlight w:val="none"/>
              </w:rPr>
            </w:pPr>
            <w:r>
              <w:rPr>
                <w:rFonts w:hint="eastAsia" w:ascii="宋体" w:hAnsi="宋体" w:eastAsia="宋体"/>
                <w:b/>
                <w:bCs/>
                <w:sz w:val="24"/>
                <w:szCs w:val="24"/>
                <w:highlight w:val="none"/>
              </w:rPr>
              <w:sym w:font="Wingdings 2" w:char="0052"/>
            </w:r>
            <w:r>
              <w:rPr>
                <w:rFonts w:hint="eastAsia" w:ascii="宋体" w:hAnsi="宋体" w:eastAsia="宋体"/>
                <w:b/>
                <w:bCs/>
                <w:sz w:val="24"/>
                <w:highlight w:val="none"/>
              </w:rPr>
              <w:t>不收取</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sz w:val="24"/>
                <w:highlight w:val="none"/>
              </w:rPr>
            </w:pPr>
            <w:r>
              <w:rPr>
                <w:rFonts w:hint="eastAsia" w:ascii="宋体" w:hAnsi="宋体" w:eastAsia="宋体"/>
                <w:b w:val="0"/>
                <w:sz w:val="24"/>
                <w:highlight w:val="none"/>
              </w:rPr>
              <w:t>（2）支付方式：</w:t>
            </w:r>
            <w:r>
              <w:rPr>
                <w:rFonts w:hint="eastAsia" w:ascii="宋体" w:hAnsi="宋体" w:eastAsia="宋体"/>
                <w:b/>
                <w:bCs w:val="0"/>
                <w:sz w:val="24"/>
                <w:highlight w:val="none"/>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13.7</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其他不予退还磋商保证金的情形</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eastAsiaTheme="minorEastAsia" w:cstheme="minorEastAsia"/>
                <w:b w:val="0"/>
                <w:sz w:val="24"/>
                <w:highlight w:val="none"/>
                <w:u w:val="none"/>
              </w:rPr>
              <w:t>除因不可抗力或磋商文件认可的情形以外，成交供应商放弃成交资格的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14.1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磋商有效期</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 xml:space="preserve"> </w:t>
            </w:r>
            <w:r>
              <w:rPr>
                <w:rFonts w:hint="eastAsia" w:asciiTheme="minorEastAsia" w:hAnsiTheme="minorEastAsia" w:eastAsiaTheme="minorEastAsia" w:cstheme="minorEastAsia"/>
                <w:b w:val="0"/>
                <w:sz w:val="24"/>
                <w:highlight w:val="none"/>
                <w:u w:val="none"/>
                <w:lang w:val="en-US" w:eastAsia="zh-CN"/>
              </w:rPr>
              <w:t>90</w:t>
            </w:r>
            <w:r>
              <w:rPr>
                <w:rFonts w:hint="eastAsia" w:asciiTheme="minorEastAsia" w:hAnsiTheme="minorEastAsia" w:eastAsiaTheme="minorEastAsia" w:cstheme="minorEastAsia"/>
                <w:b w:val="0"/>
                <w:sz w:val="24"/>
                <w:highlight w:val="none"/>
                <w:u w:val="none"/>
              </w:rPr>
              <w:t xml:space="preserve">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15.1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响应文件</w:t>
            </w:r>
            <w:r>
              <w:rPr>
                <w:rFonts w:hint="eastAsia" w:asciiTheme="minorEastAsia" w:hAnsiTheme="minorEastAsia" w:eastAsiaTheme="minorEastAsia" w:cstheme="minorEastAsia"/>
                <w:b w:val="0"/>
                <w:sz w:val="24"/>
                <w:highlight w:val="none"/>
                <w:lang w:val="en-US" w:eastAsia="zh-CN"/>
              </w:rPr>
              <w:t>份数及</w:t>
            </w:r>
            <w:r>
              <w:rPr>
                <w:rFonts w:hint="eastAsia" w:asciiTheme="minorEastAsia" w:hAnsiTheme="minorEastAsia" w:eastAsiaTheme="minorEastAsia" w:cstheme="minorEastAsia"/>
                <w:b w:val="0"/>
                <w:sz w:val="24"/>
                <w:highlight w:val="none"/>
              </w:rPr>
              <w:t>要求</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lang w:eastAsia="zh-CN"/>
              </w:rPr>
            </w:pPr>
            <w:r>
              <w:rPr>
                <w:rFonts w:hint="eastAsia" w:asciiTheme="minorEastAsia" w:hAnsiTheme="minorEastAsia" w:eastAsiaTheme="minorEastAsia" w:cstheme="minorEastAsia"/>
                <w:bCs/>
                <w:kern w:val="2"/>
                <w:highlight w:val="none"/>
              </w:rPr>
              <w:t>15.</w:t>
            </w:r>
            <w:r>
              <w:rPr>
                <w:rFonts w:hint="eastAsia" w:asciiTheme="minorEastAsia" w:hAnsiTheme="minorEastAsia" w:eastAsiaTheme="minorEastAsia" w:cstheme="minorEastAsia"/>
                <w:bCs/>
                <w:kern w:val="2"/>
                <w:highlight w:val="none"/>
                <w:lang w:val="en-US" w:eastAsia="zh-CN"/>
              </w:rPr>
              <w:t>9</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磋商现场提交的其他材料要求</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lang w:eastAsia="zh-CN"/>
              </w:rPr>
            </w:pPr>
            <w:r>
              <w:rPr>
                <w:rFonts w:hint="eastAsia" w:ascii="宋体" w:hAnsi="宋体" w:eastAsia="宋体"/>
                <w:b w:val="0"/>
                <w:sz w:val="24"/>
                <w:highlight w:val="none"/>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16.1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响应文件提交截止时间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19.1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磋商地点</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19.3</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评审方法</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highlight w:val="none"/>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22.4</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最后报价扣除</w:t>
            </w:r>
            <w:r>
              <w:rPr>
                <w:rFonts w:hint="eastAsia" w:ascii="宋体" w:hAnsi="宋体" w:eastAsia="宋体"/>
                <w:b w:val="0"/>
                <w:sz w:val="24"/>
                <w:highlight w:val="none"/>
              </w:rPr>
              <w:t>（本项目不采用）</w:t>
            </w:r>
          </w:p>
        </w:tc>
        <w:tc>
          <w:tcPr>
            <w:tcW w:w="3217" w:type="pct"/>
            <w:vAlign w:val="center"/>
          </w:tcPr>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（1）小型和微型企业价格扣除：</w:t>
            </w:r>
            <w:r>
              <w:rPr>
                <w:rFonts w:hint="eastAsia" w:asciiTheme="minorEastAsia" w:hAnsiTheme="minorEastAsia" w:eastAsiaTheme="minorEastAsia" w:cstheme="minorEastAsia"/>
                <w:b/>
                <w:bCs w:val="0"/>
                <w:kern w:val="0"/>
                <w:sz w:val="24"/>
                <w:szCs w:val="28"/>
                <w:highlight w:val="none"/>
                <w:u w:val="single"/>
                <w:lang w:val="en-US" w:eastAsia="zh-CN"/>
              </w:rPr>
              <w:t xml:space="preserve"> / </w:t>
            </w:r>
            <w:r>
              <w:rPr>
                <w:rFonts w:hint="eastAsia" w:asciiTheme="minorEastAsia" w:hAnsiTheme="minorEastAsia" w:eastAsiaTheme="minorEastAsia" w:cstheme="minorEastAsia"/>
                <w:b/>
                <w:bCs w:val="0"/>
                <w:kern w:val="0"/>
                <w:sz w:val="24"/>
                <w:szCs w:val="28"/>
                <w:highlight w:val="none"/>
              </w:rPr>
              <w:t>%</w:t>
            </w:r>
            <w:r>
              <w:rPr>
                <w:rFonts w:hint="eastAsia" w:asciiTheme="minorEastAsia" w:hAnsiTheme="minorEastAsia" w:eastAsiaTheme="minorEastAsia" w:cstheme="minorEastAsia"/>
                <w:bCs/>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（2）监狱企业价格扣除：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（3）残疾人福利性单位价格扣除：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（4）符合条件的联合体价格扣除：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Cs/>
                <w:kern w:val="0"/>
                <w:sz w:val="24"/>
                <w:szCs w:val="28"/>
                <w:highlight w:val="none"/>
              </w:rPr>
              <w:t>%。</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0"/>
                <w:highlight w:val="none"/>
              </w:rPr>
              <w:t>（5）符合条件的向小微企业分包的大中型企业价格扣除：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 w:val="0"/>
                <w:bCs w:val="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23.2</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核心产品</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24.1</w:t>
            </w:r>
          </w:p>
        </w:tc>
        <w:tc>
          <w:tcPr>
            <w:tcW w:w="1192" w:type="pct"/>
            <w:vMerge w:val="restar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确定成交候选供应商和成交供应商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磋商小组推荐成交候选供应商的数量：</w:t>
            </w:r>
            <w:r>
              <w:rPr>
                <w:rFonts w:hint="eastAsia" w:asciiTheme="minorEastAsia" w:hAnsiTheme="minorEastAsia" w:eastAsiaTheme="minorEastAsia" w:cstheme="minorEastAsia"/>
                <w:b/>
                <w:bCs w:val="0"/>
                <w:sz w:val="24"/>
                <w:highlight w:val="none"/>
                <w:u w:val="single"/>
                <w:lang w:val="en-US" w:eastAsia="zh-CN"/>
              </w:rPr>
              <w:t>3</w:t>
            </w:r>
            <w:r>
              <w:rPr>
                <w:rFonts w:hint="eastAsia" w:asciiTheme="minorEastAsia" w:hAnsiTheme="minorEastAsia" w:eastAsiaTheme="minorEastAsia" w:cstheme="minorEastAsia"/>
                <w:b/>
                <w:bCs w:val="0"/>
                <w:sz w:val="24"/>
                <w:highlight w:val="none"/>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p>
        </w:tc>
        <w:tc>
          <w:tcPr>
            <w:tcW w:w="1192" w:type="pct"/>
            <w:vMerge w:val="continue"/>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确定成交供应商：</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采购人委托磋商小组确定</w:t>
            </w:r>
            <w:r>
              <w:rPr>
                <w:rFonts w:hint="eastAsia" w:asciiTheme="minorEastAsia" w:hAnsiTheme="minorEastAsia" w:eastAsiaTheme="minorEastAsia" w:cstheme="minorEastAsia"/>
                <w:b w:val="0"/>
                <w:sz w:val="24"/>
                <w:highlight w:val="none"/>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28.1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成交通知书发出的形式</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书面</w:t>
            </w:r>
            <w:r>
              <w:rPr>
                <w:rFonts w:hint="eastAsia" w:asciiTheme="minorEastAsia" w:hAnsiTheme="minorEastAsia" w:eastAsiaTheme="minorEastAsia" w:cstheme="minorEastAsia"/>
                <w:b w:val="0"/>
                <w:sz w:val="24"/>
                <w:highlight w:val="none"/>
              </w:rPr>
              <w:t xml:space="preserve">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29.1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告知磋商结果的形式</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供应商自行登录</w:t>
            </w:r>
            <w:r>
              <w:rPr>
                <w:rFonts w:hint="eastAsia" w:asciiTheme="minorEastAsia" w:hAnsiTheme="minorEastAsia" w:eastAsiaTheme="minorEastAsia" w:cstheme="minorEastAsia"/>
                <w:b/>
                <w:bCs/>
                <w:sz w:val="24"/>
                <w:szCs w:val="24"/>
                <w:highlight w:val="none"/>
                <w:lang w:val="en-US" w:eastAsia="zh-CN"/>
              </w:rPr>
              <w:t>网站</w:t>
            </w:r>
            <w:r>
              <w:rPr>
                <w:rFonts w:hint="eastAsia" w:asciiTheme="minorEastAsia" w:hAnsiTheme="minorEastAsia" w:eastAsiaTheme="minorEastAsia" w:cstheme="minorEastAsia"/>
                <w:b/>
                <w:bCs/>
                <w:sz w:val="24"/>
                <w:szCs w:val="24"/>
                <w:highlight w:val="none"/>
              </w:rPr>
              <w:t>查看</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30.1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履约保证金</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（1）金额：</w:t>
            </w:r>
            <w:r>
              <w:rPr>
                <w:rFonts w:hint="eastAsia" w:asciiTheme="minorEastAsia" w:hAnsiTheme="minorEastAsia" w:eastAsiaTheme="minorEastAsia" w:cstheme="minorEastAsia"/>
                <w:b w:val="0"/>
                <w:sz w:val="24"/>
                <w:highlight w:val="none"/>
                <w:u w:val="single"/>
              </w:rPr>
              <w:t xml:space="preserve">         </w:t>
            </w:r>
          </w:p>
          <w:p>
            <w:pPr>
              <w:pStyle w:val="34"/>
              <w:widowControl w:val="0"/>
              <w:spacing w:before="0" w:beforeAutospacing="0" w:after="0" w:afterAutospacing="0" w:line="360" w:lineRule="auto"/>
              <w:ind w:firstLine="482" w:firstLineChars="200"/>
              <w:jc w:val="both"/>
              <w:rPr>
                <w:rFonts w:hint="eastAsia" w:asciiTheme="minorEastAsia" w:hAnsiTheme="minorEastAsia" w:eastAsiaTheme="minorEastAsia" w:cstheme="minorEastAsia"/>
                <w:b/>
                <w:bCs w:val="0"/>
                <w:sz w:val="24"/>
                <w:highlight w:val="none"/>
              </w:rPr>
            </w:pP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rPr>
              <w:t>免收</w:t>
            </w:r>
          </w:p>
          <w:p>
            <w:pPr>
              <w:pStyle w:val="34"/>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bCs/>
                <w:sz w:val="24"/>
                <w:highlight w:val="none"/>
              </w:rPr>
            </w:pP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合同价的</w:t>
            </w:r>
            <w:r>
              <w:rPr>
                <w:rFonts w:hint="eastAsia" w:asciiTheme="minorEastAsia" w:hAnsiTheme="minorEastAsia" w:eastAsiaTheme="minorEastAsia" w:cstheme="minorEastAsia"/>
                <w:b w:val="0"/>
                <w:bCs/>
                <w:sz w:val="24"/>
                <w:highlight w:val="none"/>
                <w:u w:val="single"/>
              </w:rPr>
              <w:t xml:space="preserve">  </w:t>
            </w:r>
            <w:r>
              <w:rPr>
                <w:rFonts w:hint="eastAsia" w:asciiTheme="minorEastAsia" w:hAnsiTheme="minorEastAsia" w:eastAsiaTheme="minorEastAsia" w:cstheme="minorEastAsia"/>
                <w:b w:val="0"/>
                <w:bCs/>
                <w:sz w:val="24"/>
                <w:highlight w:val="none"/>
              </w:rPr>
              <w:t>%</w:t>
            </w:r>
          </w:p>
          <w:p>
            <w:pPr>
              <w:pStyle w:val="34"/>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□定额收取：人民币</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元</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（2）支付方式：</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sz w:val="24"/>
                <w:highlight w:val="none"/>
              </w:rPr>
            </w:pP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转账/电汇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支票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汇票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本票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1.如采用金融机构出具的保函（银行保函），应为银行出具的见索即付无条件保函。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2.如采用担保机构出具的保函（担保机构担保），应为经安徽省地方金融监督管理局审查批准，依法取得融资担保业务经营许可证的融资担保机构出具的无条件保函。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（3）收取单位：</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巢湖市金盾机动车驾驶员培训学校有限公司</w:t>
            </w:r>
            <w:r>
              <w:rPr>
                <w:rFonts w:hint="eastAsia" w:asciiTheme="minorEastAsia" w:hAnsiTheme="minorEastAsia" w:eastAsiaTheme="minorEastAsia" w:cstheme="minorEastAsia"/>
                <w:b w:val="0"/>
                <w:sz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（4）缴纳时间：</w:t>
            </w:r>
            <w:r>
              <w:rPr>
                <w:rFonts w:hint="eastAsia" w:asciiTheme="minorEastAsia" w:hAnsiTheme="minorEastAsia" w:eastAsiaTheme="minorEastAsia" w:cstheme="minorEastAsia"/>
                <w:b w:val="0"/>
                <w:sz w:val="24"/>
                <w:highlight w:val="none"/>
                <w:u w:val="single"/>
              </w:rPr>
              <w:t xml:space="preserve"> 合同签订前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（5）退还时间：</w:t>
            </w:r>
            <w:r>
              <w:rPr>
                <w:rFonts w:hint="eastAsia" w:asciiTheme="minorEastAsia" w:hAnsiTheme="minorEastAsia" w:eastAsiaTheme="minorEastAsia" w:cstheme="minorEastAsia"/>
                <w:b w:val="0"/>
                <w:sz w:val="24"/>
                <w:highlight w:val="none"/>
                <w:lang w:val="en-US" w:eastAsia="zh-CN"/>
              </w:rPr>
              <w:t>合同完成</w:t>
            </w:r>
            <w:r>
              <w:rPr>
                <w:rFonts w:hint="eastAsia" w:asciiTheme="minorEastAsia" w:hAnsiTheme="minorEastAsia" w:eastAsiaTheme="minorEastAsia" w:cstheme="minorEastAsia"/>
                <w:b w:val="0"/>
                <w:sz w:val="24"/>
                <w:highlight w:val="none"/>
              </w:rPr>
              <w:t>后</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30</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31.1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成交服务费</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 xml:space="preserve">（1）金额：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sz w:val="24"/>
                <w:szCs w:val="24"/>
                <w:highlight w:val="none"/>
                <w:u w:val="none"/>
              </w:rPr>
              <w:t>□</w:t>
            </w:r>
            <w:r>
              <w:rPr>
                <w:rFonts w:hint="eastAsia" w:asciiTheme="minorEastAsia" w:hAnsiTheme="minorEastAsia" w:eastAsiaTheme="minorEastAsia" w:cstheme="minorEastAsia"/>
                <w:b w:val="0"/>
                <w:sz w:val="24"/>
                <w:highlight w:val="none"/>
                <w:u w:val="none"/>
              </w:rPr>
              <w:t>免收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val="0"/>
                <w:sz w:val="24"/>
                <w:highlight w:val="none"/>
                <w:u w:val="none"/>
              </w:rPr>
            </w:pPr>
            <w:r>
              <w:rPr>
                <w:rFonts w:hint="eastAsia" w:asciiTheme="minorEastAsia" w:hAnsiTheme="minorEastAsia" w:eastAsiaTheme="minorEastAsia" w:cstheme="minorEastAsia"/>
                <w:b/>
                <w:bCs w:val="0"/>
                <w:sz w:val="24"/>
                <w:highlight w:val="none"/>
                <w:u w:val="none"/>
                <w:lang w:eastAsia="zh-CN"/>
              </w:rPr>
              <w:t>☑</w:t>
            </w:r>
            <w:r>
              <w:rPr>
                <w:rFonts w:hint="eastAsia" w:asciiTheme="minorEastAsia" w:hAnsiTheme="minorEastAsia" w:eastAsiaTheme="minorEastAsia" w:cstheme="minorEastAsia"/>
                <w:b/>
                <w:bCs w:val="0"/>
                <w:sz w:val="24"/>
                <w:highlight w:val="none"/>
                <w:u w:val="none"/>
              </w:rPr>
              <w:t>定额收取：人民币</w:t>
            </w:r>
            <w:r>
              <w:rPr>
                <w:rFonts w:hint="eastAsia" w:asciiTheme="minorEastAsia" w:hAnsiTheme="minorEastAsia" w:eastAsiaTheme="minorEastAsia" w:cstheme="minorEastAsia"/>
                <w:b/>
                <w:bCs w:val="0"/>
                <w:sz w:val="24"/>
                <w:highlight w:val="none"/>
                <w:u w:val="none"/>
                <w:lang w:val="en-US" w:eastAsia="zh-CN"/>
              </w:rPr>
              <w:t>肆仟</w:t>
            </w:r>
            <w:r>
              <w:rPr>
                <w:rFonts w:hint="eastAsia" w:asciiTheme="minorEastAsia" w:hAnsiTheme="minorEastAsia" w:eastAsiaTheme="minorEastAsia" w:cstheme="minorEastAsia"/>
                <w:b/>
                <w:bCs w:val="0"/>
                <w:sz w:val="24"/>
                <w:highlight w:val="none"/>
                <w:u w:val="none"/>
              </w:rPr>
              <w:t>元</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sz w:val="24"/>
                <w:highlight w:val="none"/>
                <w:u w:val="none"/>
              </w:rPr>
            </w:pPr>
            <w:r>
              <w:rPr>
                <w:rFonts w:hint="eastAsia" w:asciiTheme="minorEastAsia" w:hAnsiTheme="minorEastAsia" w:eastAsiaTheme="minorEastAsia" w:cstheme="minorEastAsia"/>
                <w:b w:val="0"/>
                <w:sz w:val="24"/>
                <w:highlight w:val="none"/>
                <w:u w:val="none"/>
              </w:rPr>
              <w:t xml:space="preserve">□按下列标准收取：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（2）支付方式：</w:t>
            </w:r>
            <w:r>
              <w:rPr>
                <w:rFonts w:hint="eastAsia" w:asciiTheme="minorEastAsia" w:hAnsiTheme="minorEastAsia" w:eastAsiaTheme="minorEastAsia" w:cstheme="minorEastAsia"/>
                <w:b w:val="0"/>
                <w:sz w:val="24"/>
                <w:szCs w:val="24"/>
                <w:highlight w:val="none"/>
                <w:u w:val="none"/>
                <w:lang w:eastAsia="zh-CN"/>
              </w:rPr>
              <w:t>☑</w:t>
            </w:r>
            <w:r>
              <w:rPr>
                <w:rFonts w:hint="eastAsia" w:asciiTheme="minorEastAsia" w:hAnsiTheme="minorEastAsia" w:eastAsiaTheme="minorEastAsia" w:cstheme="minorEastAsia"/>
                <w:b w:val="0"/>
                <w:sz w:val="24"/>
                <w:highlight w:val="none"/>
                <w:u w:val="none"/>
              </w:rPr>
              <w:t>转账/电汇</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（3）收取单位：</w:t>
            </w:r>
            <w:r>
              <w:rPr>
                <w:rFonts w:hint="eastAsia" w:asciiTheme="minorEastAsia" w:hAnsiTheme="minorEastAsia" w:eastAsiaTheme="minorEastAsia" w:cstheme="minorEastAsia"/>
                <w:b w:val="0"/>
                <w:sz w:val="24"/>
                <w:highlight w:val="none"/>
                <w:u w:val="none"/>
                <w:lang w:eastAsia="zh-CN"/>
              </w:rPr>
              <w:t>安徽天顺工程造价咨询有限公司</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（4）缴纳时间：领取成交通知书前</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bCs w:val="0"/>
                <w:sz w:val="24"/>
                <w:highlight w:val="none"/>
                <w:u w:val="none"/>
              </w:rPr>
              <w:t>（</w:t>
            </w:r>
            <w:r>
              <w:rPr>
                <w:rFonts w:hint="eastAsia" w:asciiTheme="minorEastAsia" w:hAnsiTheme="minorEastAsia" w:eastAsiaTheme="minorEastAsia" w:cstheme="minorEastAsia"/>
                <w:b/>
                <w:bCs w:val="0"/>
                <w:sz w:val="24"/>
                <w:highlight w:val="none"/>
                <w:u w:val="none"/>
                <w:lang w:val="en-US" w:eastAsia="zh-CN"/>
              </w:rPr>
              <w:t>5</w:t>
            </w:r>
            <w:r>
              <w:rPr>
                <w:rFonts w:hint="eastAsia" w:asciiTheme="minorEastAsia" w:hAnsiTheme="minorEastAsia" w:eastAsiaTheme="minorEastAsia" w:cstheme="minorEastAsia"/>
                <w:b/>
                <w:bCs w:val="0"/>
                <w:sz w:val="24"/>
                <w:highlight w:val="none"/>
                <w:u w:val="none"/>
              </w:rPr>
              <w:t>）</w:t>
            </w:r>
            <w:r>
              <w:rPr>
                <w:rFonts w:hint="eastAsia" w:ascii="宋体" w:hAnsi="宋体" w:eastAsia="宋体"/>
                <w:b/>
                <w:bCs w:val="0"/>
                <w:sz w:val="24"/>
                <w:highlight w:val="none"/>
                <w:u w:val="none"/>
                <w:lang w:eastAsia="zh-CN"/>
              </w:rPr>
              <w:t>专家评审费，由</w:t>
            </w:r>
            <w:r>
              <w:rPr>
                <w:rFonts w:hint="eastAsia" w:asciiTheme="minorEastAsia" w:hAnsiTheme="minorEastAsia" w:eastAsiaTheme="minorEastAsia" w:cstheme="minorEastAsia"/>
                <w:b/>
                <w:bCs w:val="0"/>
                <w:sz w:val="24"/>
                <w:highlight w:val="none"/>
                <w:u w:val="none"/>
              </w:rPr>
              <w:t>成交供应商</w:t>
            </w:r>
            <w:r>
              <w:rPr>
                <w:rFonts w:hint="eastAsia" w:ascii="宋体" w:hAnsi="宋体" w:eastAsia="宋体"/>
                <w:b/>
                <w:bCs w:val="0"/>
                <w:sz w:val="24"/>
                <w:highlight w:val="none"/>
                <w:u w:val="none"/>
                <w:lang w:eastAsia="zh-CN"/>
              </w:rPr>
              <w:t>现场据实支付（</w:t>
            </w:r>
            <w:r>
              <w:rPr>
                <w:rFonts w:hint="eastAsia" w:ascii="宋体" w:hAnsi="宋体" w:eastAsia="宋体"/>
                <w:b/>
                <w:bCs w:val="0"/>
                <w:sz w:val="24"/>
                <w:highlight w:val="none"/>
                <w:u w:val="none"/>
                <w:lang w:val="en-US" w:eastAsia="zh-CN"/>
              </w:rPr>
              <w:t>不开票</w:t>
            </w:r>
            <w:r>
              <w:rPr>
                <w:rFonts w:hint="eastAsia" w:ascii="宋体" w:hAnsi="宋体" w:eastAsia="宋体"/>
                <w:b/>
                <w:bCs w:val="0"/>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其他内容</w:t>
            </w:r>
          </w:p>
        </w:tc>
        <w:tc>
          <w:tcPr>
            <w:tcW w:w="3217" w:type="pct"/>
            <w:vAlign w:val="center"/>
          </w:tcPr>
          <w:p>
            <w:pPr>
              <w:pStyle w:val="34"/>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供应商响应文件制作完成时应自行检查证明材料扫描件或影印件是否清晰，如因材料模糊不清，导致</w:t>
            </w:r>
            <w:r>
              <w:rPr>
                <w:rFonts w:hint="eastAsia" w:asciiTheme="minorEastAsia" w:hAnsiTheme="minorEastAsia" w:eastAsiaTheme="minorEastAsia" w:cstheme="minorEastAsia"/>
                <w:b w:val="0"/>
                <w:sz w:val="24"/>
                <w:highlight w:val="none"/>
                <w:lang w:val="en-US" w:eastAsia="zh-CN"/>
              </w:rPr>
              <w:t>磋商</w:t>
            </w:r>
            <w:r>
              <w:rPr>
                <w:rFonts w:hint="eastAsia" w:asciiTheme="minorEastAsia" w:hAnsiTheme="minorEastAsia" w:eastAsiaTheme="minorEastAsia" w:cstheme="minorEastAsia"/>
                <w:b w:val="0"/>
                <w:sz w:val="24"/>
                <w:highlight w:val="none"/>
              </w:rPr>
              <w:t>小组无法辨认的，一切后果由供应商自行承担。</w:t>
            </w:r>
          </w:p>
          <w:p>
            <w:pPr>
              <w:pStyle w:val="34"/>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lang w:val="en-US" w:eastAsia="zh-CN"/>
              </w:rPr>
              <w:t>磋商文件</w:t>
            </w:r>
            <w:r>
              <w:rPr>
                <w:rFonts w:hint="eastAsia" w:asciiTheme="minorEastAsia" w:hAnsiTheme="minorEastAsia" w:eastAsiaTheme="minorEastAsia" w:cstheme="minorEastAsia"/>
                <w:b w:val="0"/>
                <w:sz w:val="24"/>
                <w:highlight w:val="none"/>
              </w:rPr>
              <w:t>中要求加盖公章的，均</w:t>
            </w:r>
            <w:r>
              <w:rPr>
                <w:rFonts w:hint="eastAsia" w:asciiTheme="minorEastAsia" w:hAnsiTheme="minorEastAsia" w:eastAsiaTheme="minorEastAsia" w:cstheme="minorEastAsia"/>
                <w:b w:val="0"/>
                <w:sz w:val="24"/>
                <w:highlight w:val="none"/>
                <w:lang w:val="en-US" w:eastAsia="zh-CN"/>
              </w:rPr>
              <w:t>应当</w:t>
            </w:r>
            <w:r>
              <w:rPr>
                <w:rFonts w:hint="eastAsia" w:asciiTheme="minorEastAsia" w:hAnsiTheme="minorEastAsia" w:eastAsiaTheme="minorEastAsia" w:cstheme="minorEastAsia"/>
                <w:b w:val="0"/>
                <w:sz w:val="24"/>
                <w:highlight w:val="none"/>
              </w:rPr>
              <w:t>加盖</w:t>
            </w:r>
            <w:r>
              <w:rPr>
                <w:rFonts w:hint="eastAsia" w:asciiTheme="minorEastAsia" w:hAnsiTheme="minorEastAsia" w:eastAsiaTheme="minorEastAsia" w:cstheme="minorEastAsia"/>
                <w:b w:val="0"/>
                <w:sz w:val="24"/>
                <w:highlight w:val="none"/>
                <w:lang w:val="en-US" w:eastAsia="zh-CN"/>
              </w:rPr>
              <w:t>供应商</w:t>
            </w:r>
            <w:r>
              <w:rPr>
                <w:rFonts w:hint="eastAsia" w:asciiTheme="minorEastAsia" w:hAnsiTheme="minorEastAsia" w:eastAsiaTheme="minorEastAsia" w:cstheme="minorEastAsia"/>
                <w:b w:val="0"/>
                <w:sz w:val="24"/>
                <w:highlight w:val="none"/>
              </w:rPr>
              <w:t>公章,</w:t>
            </w:r>
            <w:r>
              <w:rPr>
                <w:rFonts w:hint="eastAsia" w:asciiTheme="minorEastAsia" w:hAnsiTheme="minorEastAsia" w:eastAsiaTheme="minorEastAsia" w:cstheme="minorEastAsia"/>
                <w:b w:val="0"/>
                <w:sz w:val="24"/>
                <w:highlight w:val="none"/>
                <w:lang w:val="en-US" w:eastAsia="zh-CN"/>
              </w:rPr>
              <w:t>否则将视为响应无效。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35.2</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lang w:eastAsia="zh-CN"/>
              </w:rPr>
            </w:pPr>
            <w:r>
              <w:rPr>
                <w:rFonts w:hint="eastAsia" w:asciiTheme="minorEastAsia" w:hAnsiTheme="minorEastAsia" w:eastAsiaTheme="minorEastAsia" w:cstheme="minorEastAsia"/>
                <w:b w:val="0"/>
                <w:sz w:val="24"/>
                <w:highlight w:val="none"/>
              </w:rPr>
              <w:t>关于联合体参加磋商的相关约定</w:t>
            </w: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lang w:val="en-US" w:eastAsia="zh-CN"/>
              </w:rPr>
              <w:t>本项目不采用</w:t>
            </w:r>
            <w:r>
              <w:rPr>
                <w:rFonts w:hint="eastAsia" w:asciiTheme="minorEastAsia" w:hAnsiTheme="minorEastAsia" w:eastAsiaTheme="minorEastAsia" w:cstheme="minorEastAsia"/>
                <w:b/>
                <w:bCs w:val="0"/>
                <w:sz w:val="24"/>
                <w:highlight w:val="none"/>
                <w:lang w:eastAsia="zh-CN"/>
              </w:rPr>
              <w:t>）</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（1）联合体参加磋商的，磋商文件获取手续由联合体中任一成员单位办理均可。</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（2）联合体参加磋商的须提供联合协议（见响应文件格式），相关证明材料由供应商根据联合协议分工情况及磋商文件要求提供。</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（3）联合体各成员单位均须提供营业执照（或事业单位法人登记证书）、税务登记证和无重大违法记录声明函、无不良信用记录声明函。</w:t>
            </w:r>
            <w:r>
              <w:rPr>
                <w:rFonts w:hint="eastAsia" w:asciiTheme="minorEastAsia" w:hAnsiTheme="minorEastAsia" w:eastAsiaTheme="minorEastAsia" w:cstheme="minorEastAsia"/>
                <w:bCs w:val="0"/>
                <w:sz w:val="24"/>
                <w:highlight w:val="none"/>
              </w:rPr>
              <w:t>注：</w:t>
            </w:r>
            <w:r>
              <w:rPr>
                <w:rFonts w:hint="eastAsia" w:asciiTheme="minorEastAsia" w:hAnsiTheme="minorEastAsia" w:eastAsiaTheme="minorEastAsia" w:cstheme="minorEastAsia"/>
                <w:b w:val="0"/>
                <w:sz w:val="24"/>
                <w:highlight w:val="none"/>
              </w:rPr>
              <w:t>已办理“三证合一”登记的，响应文件中提供营业执照（或事业单位法人登记证书）扫描件即可。</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（4）关于联合体缴纳磋商保证金（如有）：为简化评审现场磋商保证金查询、后期磋商保证金退还及合同备案清算手续，磋商保证金建议由联合体牵头人足额缴纳至本项目磋商保证金账号。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35.3</w:t>
            </w:r>
          </w:p>
        </w:tc>
        <w:tc>
          <w:tcPr>
            <w:tcW w:w="1192" w:type="pct"/>
            <w:vAlign w:val="center"/>
          </w:tcPr>
          <w:p>
            <w:pPr>
              <w:spacing w:line="360" w:lineRule="auto"/>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Cs/>
                <w:kern w:val="0"/>
                <w:sz w:val="24"/>
                <w:szCs w:val="28"/>
                <w:highlight w:val="none"/>
              </w:rPr>
              <w:t>是否允许大中型企业向小微企业分包</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highlight w:val="none"/>
              </w:rPr>
              <w:t xml:space="preserve">□是  </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35.5</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本项目提供除电子版磋商文件以外的其他资料</w:t>
            </w:r>
          </w:p>
        </w:tc>
        <w:tc>
          <w:tcPr>
            <w:tcW w:w="3217" w:type="pct"/>
            <w:vAlign w:val="center"/>
          </w:tcPr>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highlight w:val="none"/>
              </w:rPr>
              <w:t>无</w:t>
            </w:r>
            <w:r>
              <w:rPr>
                <w:rFonts w:hint="eastAsia" w:asciiTheme="minorEastAsia" w:hAnsiTheme="minorEastAsia" w:eastAsiaTheme="minorEastAsia" w:cstheme="minorEastAsia"/>
                <w:sz w:val="24"/>
                <w:highlight w:val="none"/>
              </w:rPr>
              <w:t xml:space="preserve">   □图纸   □光盘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Cs/>
                <w:sz w:val="24"/>
                <w:highlight w:val="none"/>
              </w:rPr>
              <w:t>获取方式：</w:t>
            </w:r>
            <w:r>
              <w:rPr>
                <w:rFonts w:hint="eastAsia" w:asciiTheme="minorEastAsia" w:hAnsiTheme="minorEastAsia" w:eastAsiaTheme="minorEastAsia" w:cstheme="minorEastAsia"/>
                <w:bCs/>
                <w:sz w:val="24"/>
                <w:highlight w:val="none"/>
                <w:lang w:val="en-US" w:eastAsia="zh-CN"/>
              </w:rPr>
              <w:t>随同磋商文件一并发放</w:t>
            </w:r>
            <w:r>
              <w:rPr>
                <w:rFonts w:hint="eastAsia" w:asciiTheme="minorEastAsia" w:hAnsiTheme="minorEastAsia" w:eastAsiaTheme="minorEastAsia" w:cstheme="minorEastAsia"/>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35.6</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重要提示</w:t>
            </w:r>
          </w:p>
        </w:tc>
        <w:tc>
          <w:tcPr>
            <w:tcW w:w="3217" w:type="pct"/>
            <w:vAlign w:val="center"/>
          </w:tcPr>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（1）成交供应商应在规定期限内领取《成交通知书》，若成交供应商未在规定期限内领取《成交通知书》，采购人有权取消成交供应商成交资格，并将相关违约行为报送监管部门，实施信用惩戒；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（4）成交供应商成交后被监管部门查实存在违法行为，不满足成交条件的，由采购人取消成交资格，并做好项目后续工作;</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（5）成交供应商在成交项目发生投诉、信访举报案件、履约存在争议时，拒绝协助配合执法部门调查案件的，采购人可以取消其成交资格或解除合同，并追究其违约责任。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35.7</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解释权</w:t>
            </w:r>
          </w:p>
        </w:tc>
        <w:tc>
          <w:tcPr>
            <w:tcW w:w="3217" w:type="pct"/>
            <w:vAlign w:val="center"/>
          </w:tcPr>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（1）构成本磋商文件的各个组成文件应互为解释，互为说明；</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（2）同一组成文件中就同一事项的规定或约定不一致的，以编排顺序在后者为准；</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（3）如有不明确或不一致，构成合同文件组成内容的，以合同文件约定内容为准，且以专用合同条款约定的合同文件优先顺序解释；</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（4）除磋商文件中有特别规定外，仅适用于磋商及响应文件提交阶段的规定，按竞争性磋商公告、供应商须知、评审方法和标准、响应文件格式的先后顺序解释；</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宋体" w:hAnsi="宋体" w:eastAsia="宋体" w:cs="@仿宋_GB2312"/>
                <w:b/>
                <w:bCs w:val="0"/>
                <w:kern w:val="2"/>
                <w:sz w:val="24"/>
                <w:szCs w:val="20"/>
                <w:highlight w:val="none"/>
                <w:lang w:val="en-US" w:eastAsia="zh-CN" w:bidi="ar-SA"/>
              </w:rPr>
            </w:pPr>
            <w:r>
              <w:rPr>
                <w:rFonts w:ascii="宋体" w:hAnsi="宋体" w:eastAsia="宋体"/>
                <w:b/>
                <w:bCs w:val="0"/>
                <w:kern w:val="2"/>
                <w:highlight w:val="none"/>
              </w:rPr>
              <w:t>3</w:t>
            </w:r>
            <w:r>
              <w:rPr>
                <w:rFonts w:hint="eastAsia" w:ascii="宋体" w:hAnsi="宋体" w:eastAsia="宋体"/>
                <w:b/>
                <w:bCs w:val="0"/>
                <w:kern w:val="2"/>
                <w:highlight w:val="none"/>
              </w:rPr>
              <w:t>5</w:t>
            </w:r>
            <w:r>
              <w:rPr>
                <w:rFonts w:ascii="宋体" w:hAnsi="宋体" w:eastAsia="宋体"/>
                <w:b/>
                <w:bCs w:val="0"/>
                <w:kern w:val="2"/>
                <w:highlight w:val="none"/>
              </w:rPr>
              <w:t>.</w:t>
            </w:r>
            <w:r>
              <w:rPr>
                <w:rFonts w:hint="eastAsia" w:ascii="宋体" w:hAnsi="宋体" w:eastAsia="宋体"/>
                <w:b/>
                <w:bCs w:val="0"/>
                <w:kern w:val="2"/>
                <w:highlight w:val="none"/>
                <w:lang w:val="en-US" w:eastAsia="zh-CN"/>
              </w:rPr>
              <w:t>8</w:t>
            </w:r>
          </w:p>
        </w:tc>
        <w:tc>
          <w:tcPr>
            <w:tcW w:w="1192" w:type="pct"/>
            <w:vAlign w:val="center"/>
          </w:tcPr>
          <w:p>
            <w:pPr>
              <w:pStyle w:val="34"/>
              <w:widowControl w:val="0"/>
              <w:spacing w:before="0" w:beforeAutospacing="0" w:after="0" w:afterAutospacing="0" w:line="360" w:lineRule="auto"/>
              <w:jc w:val="both"/>
              <w:rPr>
                <w:rFonts w:hint="eastAsia" w:ascii="宋体" w:hAnsi="宋体" w:eastAsia="宋体" w:cs="@仿宋_GB2312"/>
                <w:b/>
                <w:bCs w:val="0"/>
                <w:kern w:val="0"/>
                <w:sz w:val="24"/>
                <w:szCs w:val="28"/>
                <w:highlight w:val="none"/>
                <w:lang w:val="en-US" w:eastAsia="zh-CN" w:bidi="ar-SA"/>
              </w:rPr>
            </w:pPr>
            <w:r>
              <w:rPr>
                <w:rFonts w:hint="eastAsia" w:ascii="宋体" w:hAnsi="宋体" w:eastAsia="宋体"/>
                <w:b/>
                <w:bCs w:val="0"/>
                <w:sz w:val="24"/>
                <w:highlight w:val="none"/>
              </w:rPr>
              <w:t>其他补充说明</w:t>
            </w:r>
          </w:p>
        </w:tc>
        <w:tc>
          <w:tcPr>
            <w:tcW w:w="3217"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highlight w:val="none"/>
                <w:lang w:val="en-US" w:eastAsia="zh-CN" w:bidi="ar-SA"/>
              </w:rPr>
            </w:pPr>
            <w:r>
              <w:rPr>
                <w:rFonts w:hint="eastAsia" w:cs="@仿宋_GB2312" w:asciiTheme="minorEastAsia" w:hAnsiTheme="minorEastAsia" w:eastAsiaTheme="minorEastAsia"/>
                <w:b/>
                <w:bCs w:val="0"/>
                <w:kern w:val="2"/>
                <w:sz w:val="24"/>
                <w:szCs w:val="24"/>
                <w:highlight w:val="none"/>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pStyle w:val="34"/>
              <w:widowControl w:val="0"/>
              <w:spacing w:before="0" w:beforeAutospacing="0" w:after="0" w:afterAutospacing="0" w:line="360" w:lineRule="auto"/>
              <w:jc w:val="both"/>
              <w:rPr>
                <w:rFonts w:hint="eastAsia" w:ascii="宋体" w:hAnsi="宋体" w:eastAsia="宋体" w:cs="@仿宋_GB2312"/>
                <w:b/>
                <w:bCs w:val="0"/>
                <w:kern w:val="0"/>
                <w:sz w:val="24"/>
                <w:szCs w:val="28"/>
                <w:highlight w:val="none"/>
                <w:lang w:val="en-US" w:eastAsia="zh-CN" w:bidi="ar-SA"/>
              </w:rPr>
            </w:pPr>
            <w:r>
              <w:rPr>
                <w:rFonts w:hint="eastAsia" w:cs="@仿宋_GB2312" w:asciiTheme="minorEastAsia" w:hAnsiTheme="minorEastAsia" w:eastAsiaTheme="minorEastAsia"/>
                <w:b/>
                <w:bCs w:val="0"/>
                <w:kern w:val="2"/>
                <w:sz w:val="24"/>
                <w:szCs w:val="24"/>
                <w:highlight w:val="none"/>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二、供应商</w:t>
      </w:r>
      <w:r>
        <w:rPr>
          <w:rFonts w:asciiTheme="minorEastAsia" w:hAnsiTheme="minorEastAsia" w:eastAsiaTheme="minorEastAsia"/>
          <w:b/>
          <w:sz w:val="24"/>
          <w:highlight w:val="none"/>
        </w:rPr>
        <w:t>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宋体" w:hAnsi="宋体" w:eastAsia="宋体"/>
          <w:sz w:val="24"/>
          <w:highlight w:val="none"/>
        </w:rPr>
      </w:pPr>
      <w:r>
        <w:rPr>
          <w:rFonts w:ascii="宋体" w:hAnsi="宋体" w:eastAsia="宋体"/>
          <w:sz w:val="24"/>
          <w:highlight w:val="none"/>
        </w:rPr>
        <w:t>1.1</w:t>
      </w:r>
      <w:r>
        <w:rPr>
          <w:rFonts w:hint="eastAsia" w:ascii="宋体" w:hAnsi="宋体" w:eastAsia="宋体"/>
          <w:sz w:val="24"/>
          <w:highlight w:val="none"/>
        </w:rPr>
        <w:t>本磋商文件仅适用于本次磋商所述的货物项目采购。</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定义</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货物：是指各种形态和种类的物品，包括原材料、燃料、设备、产品等。</w:t>
      </w:r>
    </w:p>
    <w:p>
      <w:pPr>
        <w:spacing w:line="360" w:lineRule="auto"/>
        <w:ind w:firstLine="435"/>
        <w:rPr>
          <w:rFonts w:ascii="宋体" w:hAnsi="宋体" w:eastAsia="宋体"/>
          <w:sz w:val="24"/>
          <w:highlight w:val="none"/>
        </w:rPr>
      </w:pPr>
      <w:r>
        <w:rPr>
          <w:rFonts w:ascii="宋体" w:hAnsi="宋体" w:eastAsia="宋体"/>
          <w:sz w:val="24"/>
          <w:highlight w:val="none"/>
        </w:rPr>
        <w:t>2.2时限（年份、月份等）计算：系指从</w:t>
      </w:r>
      <w:r>
        <w:rPr>
          <w:rFonts w:hint="eastAsia" w:ascii="宋体" w:hAnsi="宋体" w:eastAsia="宋体"/>
          <w:sz w:val="24"/>
          <w:highlight w:val="none"/>
        </w:rPr>
        <w:t>磋商</w:t>
      </w:r>
      <w:r>
        <w:rPr>
          <w:rFonts w:ascii="宋体" w:hAnsi="宋体" w:eastAsia="宋体"/>
          <w:sz w:val="24"/>
          <w:highlight w:val="none"/>
        </w:rPr>
        <w:t>之日向前追溯X年/月（“X”为“一”及以后整数）起算。</w:t>
      </w:r>
    </w:p>
    <w:p>
      <w:pPr>
        <w:spacing w:line="360" w:lineRule="auto"/>
        <w:ind w:firstLine="435"/>
        <w:rPr>
          <w:rFonts w:ascii="宋体" w:hAnsi="宋体" w:eastAsia="宋体"/>
          <w:sz w:val="24"/>
          <w:highlight w:val="none"/>
        </w:rPr>
      </w:pPr>
      <w:r>
        <w:rPr>
          <w:rFonts w:ascii="宋体" w:hAnsi="宋体" w:eastAsia="宋体"/>
          <w:sz w:val="24"/>
          <w:highlight w:val="none"/>
        </w:rPr>
        <w:t>2.3业绩：</w:t>
      </w:r>
      <w:r>
        <w:rPr>
          <w:rFonts w:hint="eastAsia" w:ascii="宋体" w:hAnsi="宋体" w:eastAsia="宋体"/>
          <w:sz w:val="24"/>
          <w:highlight w:val="none"/>
        </w:rPr>
        <w:t>业绩系指符合本磋商文件规定的与最终用户签订的合同或磋商文件要求的相关证明。供应商</w:t>
      </w:r>
      <w:r>
        <w:rPr>
          <w:rFonts w:ascii="宋体" w:hAnsi="宋体" w:eastAsia="宋体"/>
          <w:sz w:val="24"/>
          <w:highlight w:val="none"/>
        </w:rPr>
        <w:t>与其关联公司（如母公司、控股公司、分公司、子公司、同一法定代表人的公司等）之间签订的合同，均不予认可。</w:t>
      </w:r>
    </w:p>
    <w:p>
      <w:pPr>
        <w:spacing w:line="360" w:lineRule="auto"/>
        <w:ind w:firstLine="435"/>
        <w:rPr>
          <w:rFonts w:ascii="宋体" w:hAnsi="宋体" w:eastAsia="宋体"/>
          <w:sz w:val="24"/>
          <w:highlight w:val="none"/>
        </w:rPr>
      </w:pPr>
      <w:r>
        <w:rPr>
          <w:rFonts w:ascii="宋体" w:hAnsi="宋体" w:eastAsia="宋体"/>
          <w:sz w:val="24"/>
          <w:highlight w:val="none"/>
        </w:rPr>
        <w:t>除非本</w:t>
      </w:r>
      <w:r>
        <w:rPr>
          <w:rFonts w:hint="eastAsia" w:ascii="宋体" w:hAnsi="宋体" w:eastAsia="宋体"/>
          <w:sz w:val="24"/>
          <w:highlight w:val="none"/>
        </w:rPr>
        <w:t>磋商</w:t>
      </w:r>
      <w:r>
        <w:rPr>
          <w:rFonts w:ascii="宋体" w:hAnsi="宋体" w:eastAsia="宋体"/>
          <w:sz w:val="24"/>
          <w:highlight w:val="none"/>
        </w:rPr>
        <w:t>文件</w:t>
      </w:r>
      <w:r>
        <w:rPr>
          <w:rFonts w:hint="eastAsia" w:ascii="宋体" w:hAnsi="宋体" w:eastAsia="宋体"/>
          <w:sz w:val="24"/>
          <w:highlight w:val="none"/>
        </w:rPr>
        <w:t>中</w:t>
      </w:r>
      <w:r>
        <w:rPr>
          <w:rFonts w:ascii="宋体" w:hAnsi="宋体" w:eastAsia="宋体"/>
          <w:sz w:val="24"/>
          <w:highlight w:val="none"/>
        </w:rPr>
        <w:t>另有规定，否则业绩</w:t>
      </w:r>
      <w:r>
        <w:rPr>
          <w:rFonts w:hint="eastAsia" w:ascii="宋体" w:hAnsi="宋体" w:eastAsia="宋体"/>
          <w:sz w:val="24"/>
          <w:highlight w:val="none"/>
        </w:rPr>
        <w:t>均为已</w:t>
      </w:r>
      <w:r>
        <w:rPr>
          <w:rFonts w:ascii="宋体" w:hAnsi="宋体" w:eastAsia="宋体"/>
          <w:sz w:val="24"/>
          <w:highlight w:val="none"/>
        </w:rPr>
        <w:t>供货（安装）完毕的</w:t>
      </w:r>
      <w:r>
        <w:rPr>
          <w:rFonts w:hint="eastAsia" w:ascii="宋体" w:hAnsi="宋体" w:eastAsia="宋体"/>
          <w:sz w:val="24"/>
          <w:highlight w:val="none"/>
        </w:rPr>
        <w:t>业绩，业绩</w:t>
      </w:r>
      <w:r>
        <w:rPr>
          <w:rFonts w:ascii="宋体" w:hAnsi="宋体" w:eastAsia="宋体"/>
          <w:sz w:val="24"/>
          <w:highlight w:val="none"/>
        </w:rPr>
        <w:t>时间均以合同签订之日为追溯</w:t>
      </w:r>
      <w:r>
        <w:rPr>
          <w:rFonts w:hint="eastAsia" w:ascii="宋体" w:hAnsi="宋体" w:eastAsia="宋体"/>
          <w:sz w:val="24"/>
          <w:highlight w:val="none"/>
        </w:rPr>
        <w:t>节</w:t>
      </w:r>
      <w:r>
        <w:rPr>
          <w:rFonts w:ascii="宋体" w:hAnsi="宋体" w:eastAsia="宋体"/>
          <w:sz w:val="24"/>
          <w:highlight w:val="none"/>
        </w:rPr>
        <w:t>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采购人、采购代理机构及供应商</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.1采购人：是指依法开展政府采购活动的国家机关、事业单位、团体组织。</w:t>
      </w:r>
      <w:r>
        <w:rPr>
          <w:rFonts w:hint="eastAsia" w:ascii="宋体" w:hAnsi="宋体" w:eastAsia="宋体"/>
          <w:sz w:val="24"/>
          <w:highlight w:val="none"/>
        </w:rPr>
        <w:t>本项目的采购人见</w:t>
      </w:r>
      <w:r>
        <w:rPr>
          <w:rFonts w:hint="eastAsia" w:ascii="宋体" w:hAnsi="宋体" w:eastAsia="宋体"/>
          <w:sz w:val="24"/>
          <w:highlight w:val="none"/>
          <w:u w:val="single"/>
        </w:rPr>
        <w:t>供应商须知前附表</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.2采购代理机构：是指集中采购机构或从事采购代理业务的社会中介机构。本项目的采购代理机构见</w:t>
      </w:r>
      <w:r>
        <w:rPr>
          <w:rFonts w:hint="eastAsia"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ascii="宋体" w:hAnsi="宋体" w:eastAsia="宋体"/>
          <w:sz w:val="24"/>
          <w:highlight w:val="none"/>
        </w:rPr>
        <w:t>3.3政府采购监督管理部门：</w:t>
      </w:r>
      <w:r>
        <w:rPr>
          <w:rFonts w:hint="eastAsia" w:ascii="宋体" w:hAnsi="宋体" w:eastAsia="宋体"/>
          <w:sz w:val="24"/>
          <w:highlight w:val="none"/>
        </w:rPr>
        <w:t>各级人民政府指定的有关部门依法履行与政府采购活动有关的监督管理职责。本项目的政府采购监督管理部门见</w:t>
      </w:r>
      <w:r>
        <w:rPr>
          <w:rFonts w:hint="eastAsia"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w:t>
      </w:r>
      <w:r>
        <w:rPr>
          <w:rFonts w:hint="eastAsia" w:ascii="宋体" w:hAnsi="宋体" w:eastAsia="宋体"/>
          <w:sz w:val="24"/>
          <w:highlight w:val="none"/>
        </w:rPr>
        <w:t>供应商</w:t>
      </w:r>
      <w:r>
        <w:rPr>
          <w:rFonts w:ascii="宋体" w:hAnsi="宋体" w:eastAsia="宋体"/>
          <w:sz w:val="24"/>
          <w:highlight w:val="none"/>
        </w:rPr>
        <w:t>：是指向采购人提供货物、工程或者服务的法人。</w:t>
      </w:r>
      <w:r>
        <w:rPr>
          <w:rFonts w:hint="eastAsia" w:ascii="宋体" w:hAnsi="宋体" w:eastAsia="宋体"/>
          <w:sz w:val="24"/>
          <w:highlight w:val="none"/>
        </w:rPr>
        <w:t>分支机构不得参加政府采购活动，但银行、保险、石油石化、电力、电信等特殊行业除外。</w:t>
      </w:r>
      <w:r>
        <w:rPr>
          <w:rFonts w:ascii="宋体" w:hAnsi="宋体" w:eastAsia="宋体"/>
          <w:sz w:val="24"/>
          <w:highlight w:val="none"/>
        </w:rPr>
        <w:t>本项目的</w:t>
      </w:r>
      <w:r>
        <w:rPr>
          <w:rFonts w:hint="eastAsia" w:ascii="宋体" w:hAnsi="宋体" w:eastAsia="宋体"/>
          <w:sz w:val="24"/>
          <w:highlight w:val="none"/>
        </w:rPr>
        <w:t>供应商</w:t>
      </w:r>
      <w:r>
        <w:rPr>
          <w:rFonts w:ascii="宋体" w:hAnsi="宋体" w:eastAsia="宋体"/>
          <w:sz w:val="24"/>
          <w:highlight w:val="none"/>
        </w:rPr>
        <w:t>及其</w:t>
      </w:r>
      <w:r>
        <w:rPr>
          <w:rFonts w:hint="eastAsia" w:ascii="宋体" w:hAnsi="宋体" w:eastAsia="宋体"/>
          <w:sz w:val="24"/>
          <w:highlight w:val="none"/>
        </w:rPr>
        <w:t>所</w:t>
      </w:r>
      <w:r>
        <w:rPr>
          <w:rFonts w:ascii="宋体" w:hAnsi="宋体" w:eastAsia="宋体"/>
          <w:sz w:val="24"/>
          <w:highlight w:val="none"/>
        </w:rPr>
        <w:t>投货物须满足以下条件：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.4.1在中华人民共和国境内注册，能够独立承担民事责任，有生产或供应能力的本国供应商。</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.4.3以采购代理机构认可的方式获得了本项目的</w:t>
      </w:r>
      <w:r>
        <w:rPr>
          <w:rFonts w:hint="eastAsia" w:ascii="宋体" w:hAnsi="宋体" w:eastAsia="宋体"/>
          <w:sz w:val="24"/>
          <w:highlight w:val="none"/>
        </w:rPr>
        <w:t>磋商</w:t>
      </w:r>
      <w:r>
        <w:rPr>
          <w:rFonts w:ascii="宋体" w:hAnsi="宋体" w:eastAsia="宋体"/>
          <w:sz w:val="24"/>
          <w:highlight w:val="none"/>
        </w:rPr>
        <w:t>文件。</w:t>
      </w:r>
    </w:p>
    <w:p>
      <w:pPr>
        <w:spacing w:line="360" w:lineRule="auto"/>
        <w:ind w:firstLine="435"/>
        <w:rPr>
          <w:rFonts w:ascii="宋体" w:hAnsi="宋体" w:eastAsia="宋体"/>
          <w:sz w:val="24"/>
          <w:highlight w:val="none"/>
        </w:rPr>
      </w:pPr>
      <w:r>
        <w:rPr>
          <w:rFonts w:ascii="宋体" w:hAnsi="宋体" w:eastAsia="宋体"/>
          <w:sz w:val="24"/>
          <w:highlight w:val="none"/>
        </w:rPr>
        <w:t>3.4.4若</w:t>
      </w:r>
      <w:r>
        <w:rPr>
          <w:rFonts w:hint="eastAsia" w:ascii="宋体" w:hAnsi="宋体" w:eastAsia="宋体"/>
          <w:sz w:val="24"/>
          <w:highlight w:val="none"/>
          <w:u w:val="single"/>
        </w:rPr>
        <w:t>供应商须知前附表</w:t>
      </w:r>
      <w:r>
        <w:rPr>
          <w:rFonts w:ascii="宋体" w:hAnsi="宋体" w:eastAsia="宋体"/>
          <w:sz w:val="24"/>
          <w:highlight w:val="none"/>
        </w:rPr>
        <w:t>中写明允许采购进口产品，</w:t>
      </w:r>
      <w:r>
        <w:rPr>
          <w:rFonts w:hint="eastAsia" w:ascii="宋体" w:hAnsi="宋体" w:eastAsia="宋体"/>
          <w:sz w:val="24"/>
          <w:highlight w:val="none"/>
        </w:rPr>
        <w:t>供应商</w:t>
      </w:r>
      <w:r>
        <w:rPr>
          <w:rFonts w:ascii="宋体" w:hAnsi="宋体" w:eastAsia="宋体"/>
          <w:sz w:val="24"/>
          <w:highlight w:val="none"/>
        </w:rPr>
        <w:t>应保证所投产品可履行合法报通关手续进入中国关境内。</w:t>
      </w:r>
    </w:p>
    <w:p>
      <w:pPr>
        <w:spacing w:line="360" w:lineRule="auto"/>
        <w:ind w:firstLine="435"/>
        <w:rPr>
          <w:rFonts w:ascii="宋体" w:hAnsi="宋体" w:eastAsia="宋体"/>
          <w:sz w:val="24"/>
          <w:highlight w:val="none"/>
        </w:rPr>
      </w:pPr>
      <w:r>
        <w:rPr>
          <w:rFonts w:hint="eastAsia" w:ascii="宋体" w:hAnsi="宋体" w:eastAsia="宋体"/>
          <w:sz w:val="24"/>
          <w:highlight w:val="none"/>
        </w:rPr>
        <w:t>若</w:t>
      </w:r>
      <w:r>
        <w:rPr>
          <w:rFonts w:hint="eastAsia" w:ascii="宋体" w:hAnsi="宋体" w:eastAsia="宋体"/>
          <w:sz w:val="24"/>
          <w:highlight w:val="none"/>
          <w:u w:val="single"/>
        </w:rPr>
        <w:t>供应商须知前附表</w:t>
      </w:r>
      <w:r>
        <w:rPr>
          <w:rFonts w:hint="eastAsia" w:ascii="宋体" w:hAnsi="宋体" w:eastAsia="宋体"/>
          <w:sz w:val="24"/>
          <w:highlight w:val="none"/>
        </w:rPr>
        <w:t>中未写明允许采购进口产品，如供应商所投产品为进口产品，其响应文件将被认定为</w:t>
      </w:r>
      <w:r>
        <w:rPr>
          <w:rFonts w:hint="eastAsia" w:ascii="宋体" w:hAnsi="宋体" w:eastAsia="宋体"/>
          <w:b/>
          <w:sz w:val="24"/>
          <w:highlight w:val="none"/>
        </w:rPr>
        <w:t>响应无效</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w:t>
      </w:r>
      <w:r>
        <w:rPr>
          <w:rFonts w:hint="eastAsia" w:ascii="宋体" w:hAnsi="宋体" w:eastAsia="宋体"/>
          <w:sz w:val="24"/>
          <w:highlight w:val="none"/>
        </w:rPr>
        <w:t>5</w:t>
      </w:r>
      <w:r>
        <w:rPr>
          <w:rFonts w:ascii="宋体" w:hAnsi="宋体" w:eastAsia="宋体"/>
          <w:sz w:val="24"/>
          <w:highlight w:val="none"/>
        </w:rPr>
        <w:t>若</w:t>
      </w:r>
      <w:r>
        <w:rPr>
          <w:rFonts w:hint="eastAsia" w:ascii="宋体" w:hAnsi="宋体" w:eastAsia="宋体"/>
          <w:sz w:val="24"/>
          <w:highlight w:val="none"/>
          <w:u w:val="single"/>
        </w:rPr>
        <w:t>供应商须知前附表</w:t>
      </w:r>
      <w:r>
        <w:rPr>
          <w:rFonts w:ascii="宋体" w:hAnsi="宋体" w:eastAsia="宋体"/>
          <w:sz w:val="24"/>
          <w:highlight w:val="none"/>
        </w:rPr>
        <w:t>中写明专门面向中小企业采购的，如</w:t>
      </w:r>
      <w:r>
        <w:rPr>
          <w:rFonts w:hint="eastAsia" w:ascii="宋体" w:hAnsi="宋体" w:eastAsia="宋体"/>
          <w:sz w:val="24"/>
          <w:highlight w:val="none"/>
        </w:rPr>
        <w:t>供应商</w:t>
      </w:r>
      <w:r>
        <w:rPr>
          <w:rFonts w:ascii="宋体" w:hAnsi="宋体" w:eastAsia="宋体"/>
          <w:sz w:val="24"/>
          <w:highlight w:val="none"/>
        </w:rPr>
        <w:t>提供的货物非中小企业制造的，其</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.5</w:t>
      </w:r>
      <w:r>
        <w:rPr>
          <w:rFonts w:hint="eastAsia" w:ascii="宋体" w:hAnsi="宋体" w:eastAsia="宋体"/>
          <w:sz w:val="24"/>
          <w:highlight w:val="none"/>
        </w:rPr>
        <w:t>若竞争性磋商公告</w:t>
      </w:r>
      <w:r>
        <w:rPr>
          <w:rFonts w:ascii="宋体" w:hAnsi="宋体" w:eastAsia="宋体"/>
          <w:sz w:val="24"/>
          <w:highlight w:val="none"/>
        </w:rPr>
        <w:t>中允许联合体参加磋商，对联合体规定如下：</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.1</w:t>
      </w:r>
      <w:r>
        <w:rPr>
          <w:rFonts w:hint="eastAsia" w:ascii="宋体" w:hAnsi="宋体" w:eastAsia="宋体"/>
          <w:sz w:val="24"/>
          <w:highlight w:val="none"/>
        </w:rPr>
        <w:t>两个以上供应商可以组成一个磋商联合体，以一个供应商的身份磋商</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.2联合体各方均应符合《中华人民共和国政府采购法》第二十二条规定的条件。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.3采购人根据采购项目对</w:t>
      </w:r>
      <w:r>
        <w:rPr>
          <w:rFonts w:hint="eastAsia" w:ascii="宋体" w:hAnsi="宋体" w:eastAsia="宋体"/>
          <w:sz w:val="24"/>
          <w:highlight w:val="none"/>
        </w:rPr>
        <w:t>供应商</w:t>
      </w:r>
      <w:r>
        <w:rPr>
          <w:rFonts w:ascii="宋体" w:hAnsi="宋体" w:eastAsia="宋体"/>
          <w:sz w:val="24"/>
          <w:highlight w:val="none"/>
        </w:rPr>
        <w:t>的特殊要求，联合体中至少应当有一方符合相关规定。</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.4联合体各方应签订</w:t>
      </w:r>
      <w:r>
        <w:rPr>
          <w:rFonts w:hint="eastAsia" w:ascii="宋体" w:hAnsi="宋体" w:eastAsia="宋体"/>
          <w:sz w:val="24"/>
          <w:highlight w:val="none"/>
        </w:rPr>
        <w:t>联合协议</w:t>
      </w:r>
      <w:r>
        <w:rPr>
          <w:rFonts w:ascii="宋体" w:hAnsi="宋体" w:eastAsia="宋体"/>
          <w:sz w:val="24"/>
          <w:highlight w:val="none"/>
        </w:rPr>
        <w:t>，明确约定联合体各方承担的工作和相应的责任，并将</w:t>
      </w:r>
      <w:r>
        <w:rPr>
          <w:rFonts w:hint="eastAsia" w:ascii="宋体" w:hAnsi="宋体" w:eastAsia="宋体"/>
          <w:sz w:val="24"/>
          <w:highlight w:val="none"/>
        </w:rPr>
        <w:t>联合协议</w:t>
      </w:r>
      <w:r>
        <w:rPr>
          <w:rFonts w:ascii="宋体" w:hAnsi="宋体" w:eastAsia="宋体"/>
          <w:sz w:val="24"/>
          <w:highlight w:val="none"/>
        </w:rPr>
        <w:t>作为</w:t>
      </w:r>
      <w:r>
        <w:rPr>
          <w:rFonts w:hint="eastAsia" w:ascii="宋体" w:hAnsi="宋体" w:eastAsia="宋体"/>
          <w:sz w:val="24"/>
          <w:highlight w:val="none"/>
        </w:rPr>
        <w:t>响应</w:t>
      </w:r>
      <w:r>
        <w:rPr>
          <w:rFonts w:ascii="宋体" w:hAnsi="宋体" w:eastAsia="宋体"/>
          <w:sz w:val="24"/>
          <w:highlight w:val="none"/>
        </w:rPr>
        <w:t>文件</w:t>
      </w:r>
      <w:r>
        <w:rPr>
          <w:rFonts w:hint="eastAsia" w:ascii="宋体" w:hAnsi="宋体" w:eastAsia="宋体"/>
          <w:sz w:val="24"/>
          <w:highlight w:val="none"/>
        </w:rPr>
        <w:t>的</w:t>
      </w:r>
      <w:r>
        <w:rPr>
          <w:rFonts w:ascii="宋体" w:hAnsi="宋体" w:eastAsia="宋体"/>
          <w:sz w:val="24"/>
          <w:highlight w:val="none"/>
        </w:rPr>
        <w:t>一部分提交。</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.5大中型企业、其他自然人、法人或者非法人组织与小型、微型企业组成联合体共同参加</w:t>
      </w:r>
      <w:r>
        <w:rPr>
          <w:rFonts w:hint="eastAsia" w:ascii="宋体" w:hAnsi="宋体" w:eastAsia="宋体"/>
          <w:sz w:val="24"/>
          <w:highlight w:val="none"/>
        </w:rPr>
        <w:t>磋商</w:t>
      </w:r>
      <w:r>
        <w:rPr>
          <w:rFonts w:ascii="宋体" w:hAnsi="宋体" w:eastAsia="宋体"/>
          <w:sz w:val="24"/>
          <w:highlight w:val="none"/>
        </w:rPr>
        <w:t>，</w:t>
      </w:r>
      <w:r>
        <w:rPr>
          <w:rFonts w:hint="eastAsia" w:ascii="宋体" w:hAnsi="宋体" w:eastAsia="宋体"/>
          <w:sz w:val="24"/>
          <w:highlight w:val="none"/>
        </w:rPr>
        <w:t>联合协议中</w:t>
      </w:r>
      <w:r>
        <w:rPr>
          <w:rFonts w:ascii="宋体" w:hAnsi="宋体" w:eastAsia="宋体"/>
          <w:sz w:val="24"/>
          <w:highlight w:val="none"/>
        </w:rPr>
        <w:t>应写明小型、微型企业的协议合同金额占到</w:t>
      </w:r>
      <w:r>
        <w:rPr>
          <w:rFonts w:hint="eastAsia" w:ascii="宋体" w:hAnsi="宋体" w:eastAsia="宋体"/>
          <w:sz w:val="24"/>
          <w:highlight w:val="none"/>
        </w:rPr>
        <w:t>联合协议合同</w:t>
      </w:r>
      <w:r>
        <w:rPr>
          <w:rFonts w:ascii="宋体" w:hAnsi="宋体" w:eastAsia="宋体"/>
          <w:sz w:val="24"/>
          <w:highlight w:val="none"/>
        </w:rPr>
        <w:t>总金额的比例。</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.5.6</w:t>
      </w:r>
      <w:r>
        <w:rPr>
          <w:rFonts w:hint="eastAsia" w:ascii="宋体" w:hAnsi="宋体" w:eastAsia="宋体"/>
          <w:sz w:val="24"/>
          <w:highlight w:val="none"/>
        </w:rPr>
        <w:t>联合体中有同类资质的供应商按照联合体分工承担相同工作的，</w:t>
      </w:r>
      <w:r>
        <w:rPr>
          <w:rFonts w:ascii="宋体" w:hAnsi="宋体" w:eastAsia="宋体"/>
          <w:sz w:val="24"/>
          <w:highlight w:val="none"/>
        </w:rPr>
        <w:t>应当按照</w:t>
      </w:r>
      <w:r>
        <w:rPr>
          <w:rFonts w:hint="eastAsia" w:ascii="宋体" w:hAnsi="宋体" w:eastAsia="宋体"/>
          <w:sz w:val="24"/>
          <w:highlight w:val="none"/>
        </w:rPr>
        <w:t>资质等级较低的供应商确定资质等级。</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.7以联合体形式参加政府采购活动的，联合体各方不得再单独参加或者与其他供应商另外组成联合体参加本项目</w:t>
      </w:r>
      <w:r>
        <w:rPr>
          <w:rFonts w:hint="eastAsia" w:ascii="宋体" w:hAnsi="宋体" w:eastAsia="宋体"/>
          <w:sz w:val="24"/>
          <w:highlight w:val="none"/>
        </w:rPr>
        <w:t>磋商</w:t>
      </w:r>
      <w:r>
        <w:rPr>
          <w:rFonts w:ascii="宋体" w:hAnsi="宋体" w:eastAsia="宋体"/>
          <w:sz w:val="24"/>
          <w:highlight w:val="none"/>
        </w:rPr>
        <w:t>，否则相关</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.8对联合体参加磋商的其他资格要求见</w:t>
      </w:r>
      <w:r>
        <w:rPr>
          <w:rFonts w:hint="eastAsia" w:ascii="宋体" w:hAnsi="宋体" w:eastAsia="宋体"/>
          <w:sz w:val="24"/>
          <w:highlight w:val="none"/>
        </w:rPr>
        <w:t>供应商资格</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6</w:t>
      </w:r>
      <w:r>
        <w:rPr>
          <w:rFonts w:ascii="宋体" w:hAnsi="宋体" w:eastAsia="宋体"/>
          <w:sz w:val="24"/>
          <w:highlight w:val="none"/>
        </w:rPr>
        <w:t>单位负责人为同一人或者存在直接控股、管理关系的不同供应商，</w:t>
      </w:r>
      <w:r>
        <w:rPr>
          <w:rFonts w:hint="eastAsia" w:ascii="宋体" w:hAnsi="宋体" w:eastAsia="宋体"/>
          <w:sz w:val="24"/>
          <w:highlight w:val="none"/>
        </w:rPr>
        <w:t>不得参加同一合同项下的政府采购活动。否则</w:t>
      </w:r>
      <w:r>
        <w:rPr>
          <w:rFonts w:ascii="宋体" w:hAnsi="宋体" w:eastAsia="宋体"/>
          <w:sz w:val="24"/>
          <w:highlight w:val="none"/>
        </w:rPr>
        <w:t>其相关</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7</w:t>
      </w:r>
      <w:r>
        <w:rPr>
          <w:rFonts w:ascii="宋体" w:hAnsi="宋体" w:eastAsia="宋体"/>
          <w:sz w:val="24"/>
          <w:highlight w:val="none"/>
        </w:rPr>
        <w:t>为本项目提供过整体设计、规范编制或者项目管理、监理、检测等服务的供应商，不得再参加本项目上述服务以外的其他采购活动。否则其</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4.1本项目的采购人已获得足以支付本次磋商后所签订的合同项下的资金。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4.2项目预算金额</w:t>
      </w:r>
      <w:r>
        <w:rPr>
          <w:rFonts w:hint="eastAsia" w:asciiTheme="minorEastAsia" w:hAnsiTheme="minorEastAsia" w:eastAsiaTheme="minorEastAsia"/>
          <w:sz w:val="24"/>
          <w:highlight w:val="none"/>
        </w:rPr>
        <w:t>或</w:t>
      </w:r>
      <w:r>
        <w:rPr>
          <w:rFonts w:asciiTheme="minorEastAsia" w:hAnsiTheme="minorEastAsia" w:eastAsiaTheme="minorEastAsia"/>
          <w:sz w:val="24"/>
          <w:highlight w:val="none"/>
        </w:rPr>
        <w:t>分项（或分包）预算金额见</w:t>
      </w:r>
      <w:r>
        <w:rPr>
          <w:rFonts w:hint="eastAsia" w:asciiTheme="minorEastAsia" w:hAnsiTheme="minorEastAsia" w:eastAsiaTheme="minorEastAsia"/>
          <w:sz w:val="24"/>
          <w:highlight w:val="none"/>
          <w:lang w:eastAsia="zh-CN"/>
        </w:rPr>
        <w:t>磋商公告</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磋商费用</w:t>
      </w:r>
    </w:p>
    <w:p>
      <w:pPr>
        <w:spacing w:line="360" w:lineRule="auto"/>
        <w:ind w:firstLine="435"/>
        <w:rPr>
          <w:rFonts w:ascii="宋体" w:hAnsi="宋体" w:eastAsia="宋体"/>
          <w:sz w:val="24"/>
          <w:highlight w:val="none"/>
        </w:rPr>
      </w:pPr>
      <w:r>
        <w:rPr>
          <w:rFonts w:hint="eastAsia" w:ascii="宋体" w:hAnsi="宋体" w:eastAsia="宋体"/>
          <w:sz w:val="24"/>
          <w:highlight w:val="none"/>
        </w:rPr>
        <w:t>不论磋商的结果如何，供应商应承担其所有与准备和参加磋商有关的费用。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Theme="minorEastAsia" w:hAnsiTheme="minorEastAsia" w:eastAsiaTheme="minorEastAsia"/>
          <w:sz w:val="24"/>
          <w:highlight w:val="none"/>
        </w:rPr>
      </w:pPr>
      <w:r>
        <w:rPr>
          <w:rFonts w:hint="eastAsia" w:ascii="宋体" w:hAnsi="宋体" w:eastAsia="宋体"/>
          <w:sz w:val="24"/>
          <w:highlight w:val="none"/>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磋商文件构成</w:t>
      </w:r>
    </w:p>
    <w:p>
      <w:pPr>
        <w:spacing w:line="360" w:lineRule="auto"/>
        <w:ind w:firstLine="435"/>
        <w:rPr>
          <w:rFonts w:ascii="宋体" w:hAnsi="宋体" w:eastAsia="宋体"/>
          <w:sz w:val="24"/>
          <w:highlight w:val="none"/>
        </w:rPr>
      </w:pPr>
      <w:r>
        <w:rPr>
          <w:rFonts w:hint="eastAsia" w:ascii="宋体" w:hAnsi="宋体" w:eastAsia="宋体"/>
          <w:sz w:val="24"/>
          <w:highlight w:val="none"/>
        </w:rPr>
        <w:t>7.1磋商文件包括下列内容：</w:t>
      </w:r>
    </w:p>
    <w:p>
      <w:pPr>
        <w:spacing w:line="360" w:lineRule="auto"/>
        <w:ind w:firstLine="840" w:firstLineChars="35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磋商公告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评审方法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政府采购合同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文件格式</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w:t>
      </w:r>
      <w:r>
        <w:rPr>
          <w:rFonts w:hint="eastAsia" w:asciiTheme="minorEastAsia" w:hAnsiTheme="minorEastAsia" w:eastAsiaTheme="minorEastAsia"/>
          <w:sz w:val="24"/>
          <w:highlight w:val="none"/>
          <w:lang w:eastAsia="zh-CN"/>
        </w:rPr>
        <w:t>七</w:t>
      </w:r>
      <w:r>
        <w:rPr>
          <w:rFonts w:hint="eastAsia" w:asciiTheme="minorEastAsia" w:hAnsiTheme="minorEastAsia" w:eastAsiaTheme="minorEastAsia"/>
          <w:sz w:val="24"/>
          <w:highlight w:val="none"/>
        </w:rPr>
        <w:t>章</w:t>
      </w:r>
      <w:r>
        <w:rPr>
          <w:rFonts w:asciiTheme="minorEastAsia" w:hAnsiTheme="minorEastAsia" w:eastAsiaTheme="minorEastAsia"/>
          <w:sz w:val="24"/>
          <w:highlight w:val="none"/>
        </w:rPr>
        <w:t xml:space="preserve">  政府采购供应商质疑函范本</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7.2</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4如需提供样品，对样品相关要求见采购需求，对样品的评审方法及评审标准见磋商文件第四章。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5供应商</w:t>
      </w:r>
      <w:r>
        <w:rPr>
          <w:rFonts w:asciiTheme="minorEastAsia" w:hAnsiTheme="minorEastAsia" w:eastAsiaTheme="minorEastAsia"/>
          <w:sz w:val="24"/>
          <w:highlight w:val="none"/>
        </w:rPr>
        <w:t>应认真阅读</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磋商文件的澄清与修改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1供应商</w:t>
      </w:r>
      <w:r>
        <w:rPr>
          <w:rFonts w:asciiTheme="minorEastAsia" w:hAnsiTheme="minorEastAsia" w:eastAsiaTheme="minorEastAsia"/>
          <w:sz w:val="24"/>
          <w:highlight w:val="none"/>
        </w:rPr>
        <w:t>如对</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文件内容有疑问，必须在</w:t>
      </w:r>
      <w:r>
        <w:rPr>
          <w:rFonts w:ascii="宋体" w:hAnsi="宋体" w:eastAsia="宋体"/>
          <w:sz w:val="24"/>
          <w:highlight w:val="none"/>
          <w:u w:val="single"/>
        </w:rPr>
        <w:t>供应商须知前附表</w:t>
      </w:r>
      <w:r>
        <w:rPr>
          <w:rFonts w:asciiTheme="minorEastAsia" w:hAnsiTheme="minorEastAsia" w:eastAsiaTheme="minorEastAsia"/>
          <w:sz w:val="24"/>
          <w:highlight w:val="none"/>
        </w:rPr>
        <w:t>规定的</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截止时间前以</w:t>
      </w:r>
      <w:r>
        <w:rPr>
          <w:rFonts w:hint="eastAsia" w:asciiTheme="minorEastAsia" w:hAnsiTheme="minorEastAsia" w:eastAsiaTheme="minorEastAsia"/>
          <w:sz w:val="24"/>
          <w:highlight w:val="none"/>
          <w:lang w:val="en-US" w:eastAsia="zh-CN"/>
        </w:rPr>
        <w:t>书面</w:t>
      </w:r>
      <w:r>
        <w:rPr>
          <w:rFonts w:asciiTheme="minorEastAsia" w:hAnsiTheme="minorEastAsia" w:eastAsiaTheme="minorEastAsia"/>
          <w:sz w:val="24"/>
          <w:highlight w:val="none"/>
        </w:rPr>
        <w:t>形式提交给采购代理机构。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2采购人可主动或在解答供应商提出的问题时对磋商文件进行澄清或者修改。</w:t>
      </w:r>
      <w:r>
        <w:rPr>
          <w:rFonts w:asciiTheme="minorEastAsia" w:hAnsiTheme="minorEastAsia" w:eastAsiaTheme="minorEastAsia"/>
          <w:sz w:val="24"/>
          <w:highlight w:val="none"/>
        </w:rPr>
        <w:t>采购代理机构将</w:t>
      </w:r>
      <w:r>
        <w:rPr>
          <w:rFonts w:hint="eastAsia" w:asciiTheme="minorEastAsia" w:hAnsiTheme="minorEastAsia" w:eastAsiaTheme="minorEastAsia"/>
          <w:sz w:val="24"/>
          <w:highlight w:val="none"/>
        </w:rPr>
        <w:t>在</w:t>
      </w:r>
      <w:r>
        <w:rPr>
          <w:rFonts w:hint="eastAsia" w:asciiTheme="minorEastAsia" w:hAnsiTheme="minorEastAsia" w:eastAsiaTheme="minorEastAsia"/>
          <w:sz w:val="24"/>
          <w:highlight w:val="none"/>
          <w:lang w:eastAsia="zh-CN"/>
        </w:rPr>
        <w:t>“</w:t>
      </w:r>
      <w:r>
        <w:rPr>
          <w:rFonts w:hint="eastAsia" w:ascii="宋体" w:hAnsi="宋体" w:eastAsia="宋体"/>
          <w:b/>
          <w:bCs/>
          <w:sz w:val="24"/>
          <w:szCs w:val="18"/>
          <w:highlight w:val="none"/>
        </w:rPr>
        <w:t>巢湖市金盾实业集团有限公司</w:t>
      </w:r>
      <w:r>
        <w:rPr>
          <w:rFonts w:hint="eastAsia" w:asciiTheme="minorEastAsia" w:hAnsiTheme="minorEastAsia" w:eastAsiaTheme="minorEastAsia"/>
          <w:b/>
          <w:bCs/>
          <w:sz w:val="24"/>
          <w:highlight w:val="none"/>
          <w:lang w:val="en-US" w:eastAsia="zh-CN"/>
        </w:rPr>
        <w:t>官网</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lang w:val="en-US" w:eastAsia="zh-CN"/>
        </w:rPr>
        <w:t>上以</w:t>
      </w:r>
      <w:r>
        <w:rPr>
          <w:rFonts w:hint="eastAsia" w:asciiTheme="minorEastAsia" w:hAnsiTheme="minorEastAsia" w:eastAsiaTheme="minorEastAsia"/>
          <w:sz w:val="24"/>
          <w:highlight w:val="none"/>
        </w:rPr>
        <w:t>发布更正公告的方式澄清或者修改磋商文件，更正公告的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起约束作用</w:t>
      </w:r>
      <w:r>
        <w:rPr>
          <w:rFonts w:hint="eastAsia" w:asciiTheme="minorEastAsia" w:hAnsiTheme="minorEastAsia" w:eastAsiaTheme="minorEastAsia"/>
          <w:sz w:val="24"/>
          <w:highlight w:val="none"/>
        </w:rPr>
        <w:t>。供应商应主动上网查询。采购代理机构不承担供应商未及时关注相关信息引发的相关责任。</w:t>
      </w:r>
    </w:p>
    <w:p>
      <w:pPr>
        <w:spacing w:line="360" w:lineRule="auto"/>
        <w:ind w:firstLine="435"/>
        <w:rPr>
          <w:rFonts w:ascii="宋体" w:hAnsi="宋体" w:eastAsia="宋体"/>
          <w:sz w:val="24"/>
          <w:highlight w:val="none"/>
        </w:rPr>
      </w:pPr>
      <w:r>
        <w:rPr>
          <w:rFonts w:ascii="宋体" w:hAnsi="宋体" w:eastAsia="宋体"/>
          <w:sz w:val="24"/>
          <w:highlight w:val="none"/>
        </w:rPr>
        <w:t>8</w:t>
      </w:r>
      <w:r>
        <w:rPr>
          <w:rFonts w:hint="eastAsia" w:ascii="宋体" w:hAnsi="宋体" w:eastAsia="宋体"/>
          <w:sz w:val="24"/>
          <w:highlight w:val="none"/>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spacing w:line="360" w:lineRule="auto"/>
        <w:ind w:firstLine="435"/>
        <w:rPr>
          <w:rFonts w:asciiTheme="minorEastAsia" w:hAnsiTheme="minorEastAsia" w:eastAsiaTheme="minorEastAsia"/>
          <w:iCs/>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对于</w:t>
      </w:r>
      <w:r>
        <w:rPr>
          <w:rFonts w:ascii="宋体" w:hAnsi="宋体" w:eastAsia="宋体"/>
          <w:sz w:val="24"/>
          <w:highlight w:val="none"/>
        </w:rPr>
        <w:t>没有</w:t>
      </w:r>
      <w:r>
        <w:rPr>
          <w:rFonts w:asciiTheme="minorEastAsia" w:hAnsiTheme="minorEastAsia" w:eastAsiaTheme="minorEastAsia"/>
          <w:sz w:val="24"/>
          <w:highlight w:val="none"/>
        </w:rPr>
        <w:t>提出</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又参与了</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本磋商</w:t>
      </w:r>
      <w:r>
        <w:rPr>
          <w:rFonts w:asciiTheme="minorEastAsia" w:hAnsiTheme="minorEastAsia" w:eastAsiaTheme="minorEastAsia"/>
          <w:sz w:val="24"/>
          <w:highlight w:val="none"/>
        </w:rPr>
        <w:t>文件（含</w:t>
      </w:r>
      <w:r>
        <w:rPr>
          <w:rFonts w:hint="eastAsia" w:asciiTheme="minorEastAsia" w:hAnsiTheme="minorEastAsia" w:eastAsiaTheme="minorEastAsia"/>
          <w:sz w:val="24"/>
          <w:highlight w:val="none"/>
        </w:rPr>
        <w:t>更正公告的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磋商范围及响应文件中标准和计量单位的使用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9.1项目有分包的，供应商可</w:t>
      </w:r>
      <w:r>
        <w:rPr>
          <w:rFonts w:hint="eastAsia" w:asciiTheme="minorEastAsia" w:hAnsiTheme="minorEastAsia" w:eastAsiaTheme="minorEastAsia"/>
          <w:sz w:val="24"/>
          <w:highlight w:val="none"/>
        </w:rPr>
        <w:t>参与</w:t>
      </w:r>
      <w:r>
        <w:rPr>
          <w:rFonts w:asciiTheme="minorEastAsia" w:hAnsiTheme="minorEastAsia" w:eastAsiaTheme="minorEastAsia"/>
          <w:sz w:val="24"/>
          <w:highlight w:val="none"/>
        </w:rPr>
        <w:t>其中某一个或</w:t>
      </w:r>
      <w:r>
        <w:rPr>
          <w:rFonts w:hint="eastAsia" w:asciiTheme="minorEastAsia" w:hAnsiTheme="minorEastAsia" w:eastAsiaTheme="minorEastAsia"/>
          <w:sz w:val="24"/>
          <w:highlight w:val="none"/>
        </w:rPr>
        <w:t>多</w:t>
      </w:r>
      <w:r>
        <w:rPr>
          <w:rFonts w:asciiTheme="minorEastAsia" w:hAnsiTheme="minorEastAsia" w:eastAsiaTheme="minorEastAsia"/>
          <w:sz w:val="24"/>
          <w:highlight w:val="none"/>
        </w:rPr>
        <w:t>个分包</w:t>
      </w:r>
      <w:r>
        <w:rPr>
          <w:rFonts w:hint="eastAsia" w:asciiTheme="minorEastAsia" w:hAnsiTheme="minorEastAsia" w:eastAsiaTheme="minorEastAsia"/>
          <w:sz w:val="24"/>
          <w:highlight w:val="none"/>
        </w:rPr>
        <w:t>的磋商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成交包数详见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无论磋商文件中是否要求，供应商所投货物及伴随的服务和工程均应符合国家强制性标准。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除磋商文件中有特殊要求外，响应文件中所使用的计量单位，应采用中华人民共和国法定计量单位。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0.</w:t>
      </w:r>
      <w:r>
        <w:rPr>
          <w:rFonts w:hint="eastAsia" w:asciiTheme="minorEastAsia" w:hAnsiTheme="minorEastAsia" w:eastAsiaTheme="minorEastAsia"/>
          <w:b/>
          <w:sz w:val="24"/>
          <w:highlight w:val="none"/>
        </w:rPr>
        <w:t>响应文件构成</w:t>
      </w:r>
    </w:p>
    <w:p>
      <w:pPr>
        <w:spacing w:line="360" w:lineRule="auto"/>
        <w:ind w:firstLine="437"/>
        <w:rPr>
          <w:rFonts w:asciiTheme="minorEastAsia" w:hAnsiTheme="minorEastAsia" w:eastAsiaTheme="minorEastAsia"/>
          <w:sz w:val="24"/>
          <w:highlight w:val="none"/>
        </w:rPr>
      </w:pPr>
      <w:r>
        <w:rPr>
          <w:rFonts w:asciiTheme="minorEastAsia" w:hAnsiTheme="minorEastAsia" w:eastAsiaTheme="minorEastAsia"/>
          <w:sz w:val="24"/>
          <w:highlight w:val="none"/>
        </w:rPr>
        <w:t>10.1供应商应完整地按磋商文件提供的响应文件格式及要求编写响应文件，具体内容详见第六章响应文件格式的相关内容。</w:t>
      </w:r>
    </w:p>
    <w:p>
      <w:pPr>
        <w:spacing w:line="360" w:lineRule="auto"/>
        <w:ind w:firstLine="437"/>
        <w:rPr>
          <w:rFonts w:asciiTheme="minorEastAsia" w:hAnsiTheme="minorEastAsia" w:eastAsiaTheme="minorEastAsia"/>
          <w:sz w:val="24"/>
          <w:highlight w:val="none"/>
        </w:rPr>
      </w:pPr>
      <w:r>
        <w:rPr>
          <w:rFonts w:asciiTheme="minorEastAsia" w:hAnsiTheme="minorEastAsia" w:eastAsiaTheme="minorEastAsia"/>
          <w:sz w:val="24"/>
          <w:highlight w:val="none"/>
        </w:rPr>
        <w:t>10.2上述文件应按照磋商文件规定的格式填写、签署和盖章。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证明标的的合格性和符合磋商文件规定的技术文件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宋体" w:hAnsi="宋体" w:eastAsia="宋体"/>
          <w:sz w:val="24"/>
          <w:highlight w:val="none"/>
        </w:rPr>
        <w:t>供应商应提交磋商文件要求的证明文件，证明其响应内容符合磋商文件规定。该证明文件是响应文件的一部分</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.2上款所述的证明文件，可以是文字资料、图纸和数据</w:t>
      </w:r>
      <w:bookmarkStart w:id="3" w:name="_Hlk11703583"/>
      <w:r>
        <w:rPr>
          <w:rFonts w:hint="eastAsia" w:asciiTheme="minorEastAsia" w:hAnsiTheme="minorEastAsia" w:eastAsiaTheme="minorEastAsia"/>
          <w:sz w:val="24"/>
          <w:highlight w:val="none"/>
        </w:rPr>
        <w:t>。</w:t>
      </w:r>
    </w:p>
    <w:bookmarkEnd w:id="3"/>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本条所指证明文件不包括对磋商文件相关部分的文字、图标的复制。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4供应商</w:t>
      </w:r>
      <w:r>
        <w:rPr>
          <w:rFonts w:asciiTheme="minorEastAsia" w:hAnsiTheme="minorEastAsia" w:eastAsiaTheme="minorEastAsia"/>
          <w:sz w:val="24"/>
          <w:highlight w:val="none"/>
        </w:rPr>
        <w:t>应</w:t>
      </w:r>
      <w:r>
        <w:rPr>
          <w:rFonts w:ascii="宋体" w:hAnsi="宋体" w:eastAsia="宋体"/>
          <w:sz w:val="24"/>
          <w:highlight w:val="none"/>
        </w:rPr>
        <w:t>注意</w:t>
      </w:r>
      <w:r>
        <w:rPr>
          <w:rFonts w:asciiTheme="minorEastAsia" w:hAnsiTheme="minorEastAsia" w:eastAsiaTheme="minorEastAsia"/>
          <w:sz w:val="24"/>
          <w:highlight w:val="none"/>
        </w:rPr>
        <w:t>采购人在</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w:t>
      </w:r>
      <w:r>
        <w:rPr>
          <w:rFonts w:hint="eastAsia" w:asciiTheme="minorEastAsia" w:hAnsiTheme="minorEastAsia" w:eastAsiaTheme="minorEastAsia"/>
          <w:sz w:val="24"/>
          <w:highlight w:val="none"/>
        </w:rPr>
        <w:t>参考</w:t>
      </w:r>
      <w:r>
        <w:rPr>
          <w:rFonts w:asciiTheme="minorEastAsia" w:hAnsiTheme="minorEastAsia" w:eastAsiaTheme="minorEastAsia"/>
          <w:sz w:val="24"/>
          <w:highlight w:val="none"/>
        </w:rPr>
        <w:t>品牌型号或分类号仅起说明作用，并没有任何限制性。</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在</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中可以选用替代品牌型号或分类号，但这些替代要实质上相当于技术规格的要求</w:t>
      </w:r>
      <w:r>
        <w:rPr>
          <w:rFonts w:hint="eastAsia" w:asciiTheme="minorEastAsia" w:hAnsiTheme="minorEastAsia" w:eastAsiaTheme="minorEastAsia"/>
          <w:sz w:val="24"/>
          <w:highlight w:val="none"/>
        </w:rPr>
        <w:t>，是否满足要求，由磋商小组来评判。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为保证</w:t>
      </w:r>
      <w:r>
        <w:rPr>
          <w:rFonts w:ascii="宋体" w:hAnsi="宋体" w:eastAsia="宋体"/>
          <w:sz w:val="24"/>
          <w:highlight w:val="none"/>
        </w:rPr>
        <w:t>公平</w:t>
      </w:r>
      <w:r>
        <w:rPr>
          <w:rFonts w:asciiTheme="minorEastAsia" w:hAnsiTheme="minorEastAsia" w:eastAsiaTheme="minorEastAsia"/>
          <w:sz w:val="24"/>
          <w:highlight w:val="none"/>
        </w:rPr>
        <w:t>公正，除非另有规定或说明，</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对同一项目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时，不得同时提供</w:t>
      </w:r>
      <w:r>
        <w:rPr>
          <w:rFonts w:hint="eastAsia" w:asciiTheme="minorEastAsia" w:hAnsiTheme="minorEastAsia" w:eastAsiaTheme="minorEastAsia"/>
          <w:sz w:val="24"/>
          <w:highlight w:val="none"/>
        </w:rPr>
        <w:t>备选磋商</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报价</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的报价应当包括满足本次</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全部采购需求所应提供的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。所有内容均应以人民币报价，供应商的磋商报价应遵守《中华人民共和国价格法》。</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2供应商应在分项报价表上标明所投货物及相关服务的单价（如适用）和总价，未标明的视同包含在磋商报价中。</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4报价</w:t>
      </w:r>
      <w:r>
        <w:rPr>
          <w:rFonts w:asciiTheme="minorEastAsia" w:hAnsiTheme="minorEastAsia" w:eastAsiaTheme="minorEastAsia"/>
          <w:sz w:val="24"/>
          <w:highlight w:val="none"/>
        </w:rPr>
        <w:t>在合同履行过程中是固定不变的，不得以任何理由予以变更。任何包含价格调整要求的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，其</w:t>
      </w:r>
      <w:r>
        <w:rPr>
          <w:rFonts w:hint="eastAsia" w:asciiTheme="minorEastAsia" w:hAnsiTheme="minorEastAsia" w:eastAsiaTheme="minorEastAsia"/>
          <w:sz w:val="24"/>
          <w:highlight w:val="none"/>
        </w:rPr>
        <w:t>响应文件将被认定为</w:t>
      </w:r>
      <w:r>
        <w:rPr>
          <w:rFonts w:hint="eastAsia"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采购人不接受具有附加条件的报价。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磋商保证金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w:t>
      </w:r>
      <w:r>
        <w:rPr>
          <w:rFonts w:hint="eastAsia" w:ascii="宋体" w:hAnsi="宋体" w:eastAsia="宋体"/>
          <w:sz w:val="24"/>
          <w:highlight w:val="none"/>
        </w:rPr>
        <w:t>供应商应提交</w:t>
      </w:r>
      <w:r>
        <w:rPr>
          <w:rFonts w:hint="eastAsia" w:ascii="宋体" w:hAnsi="宋体" w:eastAsia="宋体"/>
          <w:sz w:val="24"/>
          <w:highlight w:val="none"/>
          <w:u w:val="single"/>
        </w:rPr>
        <w:t>供应商须知前附表</w:t>
      </w:r>
      <w:r>
        <w:rPr>
          <w:rFonts w:hint="eastAsia" w:ascii="宋体" w:hAnsi="宋体" w:eastAsia="宋体"/>
          <w:sz w:val="24"/>
          <w:highlight w:val="none"/>
        </w:rPr>
        <w:t>中规定的磋商保证金，并作为其响应文件的一部分。供应商未按规定提交磋商保证金的，其响应文件将被认定为</w:t>
      </w:r>
      <w:r>
        <w:rPr>
          <w:rFonts w:hint="eastAsia" w:ascii="宋体" w:hAnsi="宋体" w:eastAsia="宋体"/>
          <w:b/>
          <w:sz w:val="24"/>
          <w:highlight w:val="none"/>
        </w:rPr>
        <w:t>响应无效</w:t>
      </w:r>
      <w:r>
        <w:rPr>
          <w:rFonts w:hint="eastAsia"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3.2</w:t>
      </w:r>
      <w:r>
        <w:rPr>
          <w:rFonts w:hint="eastAsia" w:asciiTheme="minorEastAsia" w:hAnsiTheme="minorEastAsia" w:eastAsiaTheme="minorEastAsia"/>
          <w:sz w:val="24"/>
          <w:highlight w:val="none"/>
        </w:rPr>
        <w:t>供应商请注意：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1）前次采购失败的，采购代理机构将退还</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保证金。</w:t>
      </w:r>
    </w:p>
    <w:p>
      <w:pPr>
        <w:spacing w:line="360" w:lineRule="auto"/>
        <w:ind w:firstLine="435"/>
        <w:rPr>
          <w:rFonts w:hint="eastAsia" w:asciiTheme="minorEastAsia" w:hAnsiTheme="minorEastAsia" w:eastAsiaTheme="minorEastAsia"/>
          <w:sz w:val="24"/>
          <w:highlight w:val="none"/>
          <w:lang w:eastAsia="zh-CN"/>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highlight w:val="none"/>
        </w:rPr>
        <w:t>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联合体参加磋商的，可以由联合体中的一方或者共同提交磋商保证金。以一方名义提交磋商保证金的，对联合体各方均具有约束力。</w:t>
      </w:r>
    </w:p>
    <w:p>
      <w:pPr>
        <w:spacing w:line="360" w:lineRule="auto"/>
        <w:ind w:firstLine="435"/>
        <w:rPr>
          <w:rFonts w:hint="default" w:asciiTheme="minorEastAsia" w:hAnsiTheme="minorEastAsia" w:eastAsiaTheme="minorEastAsia"/>
          <w:sz w:val="24"/>
          <w:highlight w:val="none"/>
          <w:lang w:val="en-US" w:eastAsia="zh-CN"/>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采购代理机构将在</w:t>
      </w:r>
      <w:r>
        <w:rPr>
          <w:rFonts w:hint="eastAsia" w:asciiTheme="minorEastAsia" w:hAnsiTheme="minorEastAsia" w:eastAsiaTheme="minorEastAsia"/>
          <w:sz w:val="24"/>
          <w:highlight w:val="none"/>
          <w:lang w:val="en-US" w:eastAsia="zh-CN"/>
        </w:rPr>
        <w:t>评标结束后现场</w:t>
      </w:r>
      <w:r>
        <w:rPr>
          <w:rFonts w:asciiTheme="minorEastAsia" w:hAnsiTheme="minorEastAsia" w:eastAsiaTheme="minorEastAsia"/>
          <w:sz w:val="24"/>
          <w:highlight w:val="none"/>
        </w:rPr>
        <w:t>退还未成交供应商的磋商保证金，在采购合同签订后五个工作日内退还成交供应商的磋商保证金；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因供应商自身原因导致无法及时退还的，采购人或采购代理机构将不承担相应责任。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7有下列情形之一的，</w:t>
      </w:r>
      <w:r>
        <w:rPr>
          <w:rFonts w:asciiTheme="minorEastAsia" w:hAnsiTheme="minorEastAsia" w:eastAsiaTheme="minorEastAsia"/>
          <w:sz w:val="24"/>
          <w:highlight w:val="none"/>
        </w:rPr>
        <w:t>磋商保证金不予退还：</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1）供应商在提交响应文件截止时间后撤回响应文件的；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2）供应商在响应文件中提供虚假材料的；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3）除因不可抗力或磋商文件认可的情形以外，成交供应商不与采购人签订合同的；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4）供应商与采购人、其他供应商或者采购代理机构恶意串通的；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中规定的其他不予退还磋商保证金的情形。</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磋商有效期</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14.1磋商有效期为从响应文件提交截止之日算起的日历天数，磋商有效期详见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响应文件的制作</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是对</w:t>
      </w:r>
      <w:r>
        <w:rPr>
          <w:rFonts w:hint="eastAsia" w:asciiTheme="minorEastAsia" w:hAnsiTheme="minorEastAsia" w:eastAsiaTheme="minorEastAsia"/>
          <w:sz w:val="24"/>
          <w:highlight w:val="none"/>
          <w:lang w:val="en-US" w:eastAsia="zh-CN"/>
        </w:rPr>
        <w:t>磋商文件</w:t>
      </w:r>
      <w:r>
        <w:rPr>
          <w:rFonts w:hint="eastAsia" w:asciiTheme="minorEastAsia" w:hAnsiTheme="minorEastAsia" w:eastAsiaTheme="minorEastAsia"/>
          <w:sz w:val="24"/>
          <w:highlight w:val="none"/>
        </w:rPr>
        <w:t>的实质性响应及承诺文件。</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.2除非注明“</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可自行制作格式”，</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w:t>
      </w:r>
      <w:r>
        <w:rPr>
          <w:rFonts w:hint="eastAsia" w:asciiTheme="minorEastAsia" w:hAnsiTheme="minorEastAsia" w:eastAsiaTheme="minorEastAsia"/>
          <w:sz w:val="24"/>
          <w:highlight w:val="none"/>
          <w:lang w:val="en-US" w:eastAsia="zh-CN"/>
        </w:rPr>
        <w:t>磋商文件</w:t>
      </w:r>
      <w:r>
        <w:rPr>
          <w:rFonts w:hint="eastAsia" w:asciiTheme="minorEastAsia" w:hAnsiTheme="minorEastAsia" w:eastAsiaTheme="minorEastAsia"/>
          <w:sz w:val="24"/>
          <w:highlight w:val="none"/>
        </w:rPr>
        <w:t>提供的格式。</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.3除专用术语外，</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以及</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与采购人就有关投标的往来函电均应使用中文。</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提交的支持性文件和印制的文件可以用另一种语言，但相应内容应翻译成中文，对不同文字文本</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的解释发生异议的，以中文文本为准。</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.4除非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应使用中华人民共和国法定计量单位。</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.5除非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人民币填报所有报价。允许以多种货币报价的，或涉及合同金额等计算的，均按照中国人民银行在开标日公布的汇率中间价换算成人民币。公司注册资本为外币，须折算成人民币的，按照公司成立日期当日(以营业执照注明的成立日期为准）中国人民银行公布的汇率的中间价计算（</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应提供成立日期当日中国人民银行公布的汇率的中间价作为参考）。</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.6</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资质证书（或资格证明）处于年检、换证、升级、变更等期间，除非有法律法规或发证机构书面材料明确表明</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资质（或资格)有效，否则一律不予认可。</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.7电报、电话、传真形式的投标概不接受。</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.8除非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另有规定，代理机构一律不予退还</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的</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15.9本项目所要求的“公章”是指刻有供应商法定名称的印章，不包括合同、财务、税务、发票等形式的业务专用章。</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15.10</w:t>
      </w:r>
      <w:r>
        <w:rPr>
          <w:rFonts w:hint="eastAsia" w:asciiTheme="minorEastAsia" w:hAnsiTheme="minorEastAsia" w:eastAsiaTheme="minorEastAsia"/>
          <w:sz w:val="24"/>
          <w:highlight w:val="none"/>
        </w:rPr>
        <w:t>磋商现场提交的其他材料要求详见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6.</w:t>
      </w:r>
      <w:r>
        <w:rPr>
          <w:rFonts w:hint="eastAsia" w:asciiTheme="minorEastAsia" w:hAnsiTheme="minorEastAsia" w:eastAsiaTheme="minorEastAsia"/>
          <w:b/>
          <w:sz w:val="24"/>
          <w:highlight w:val="none"/>
        </w:rPr>
        <w:t>响应文件提交截止时间</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16.1供应商应在</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中规定的</w:t>
      </w:r>
      <w:r>
        <w:rPr>
          <w:rFonts w:hint="eastAsia" w:asciiTheme="minorEastAsia" w:hAnsiTheme="minorEastAsia" w:eastAsiaTheme="minorEastAsia"/>
          <w:sz w:val="24"/>
          <w:highlight w:val="none"/>
        </w:rPr>
        <w:t>响应文件提交</w:t>
      </w:r>
      <w:r>
        <w:rPr>
          <w:rFonts w:asciiTheme="minorEastAsia" w:hAnsiTheme="minorEastAsia" w:eastAsiaTheme="minorEastAsia"/>
          <w:sz w:val="24"/>
          <w:highlight w:val="none"/>
        </w:rPr>
        <w:t>截止时间前，提交响应文件。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lang w:val="en-US" w:eastAsia="zh-CN"/>
        </w:rPr>
        <w:t>2</w:t>
      </w:r>
      <w:r>
        <w:rPr>
          <w:rFonts w:asciiTheme="minorEastAsia" w:hAnsiTheme="minorEastAsia" w:eastAsiaTheme="minorEastAsia"/>
          <w:sz w:val="24"/>
          <w:highlight w:val="none"/>
        </w:rPr>
        <w:t>采购人和采购代理机构延迟</w:t>
      </w:r>
      <w:r>
        <w:rPr>
          <w:rFonts w:hint="eastAsia" w:asciiTheme="minorEastAsia" w:hAnsiTheme="minorEastAsia" w:eastAsiaTheme="minorEastAsia"/>
          <w:sz w:val="24"/>
          <w:highlight w:val="none"/>
        </w:rPr>
        <w:t>响应文件提交截止时间的</w:t>
      </w:r>
      <w:r>
        <w:rPr>
          <w:rFonts w:asciiTheme="minorEastAsia" w:hAnsiTheme="minorEastAsia" w:eastAsiaTheme="minorEastAsia"/>
          <w:sz w:val="24"/>
          <w:highlight w:val="none"/>
        </w:rPr>
        <w:t>。采购人、采购代理机构和供应商受</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制约的所有权利和义务均应延长至新的截止时间。</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7.</w:t>
      </w:r>
      <w:r>
        <w:rPr>
          <w:rFonts w:hint="eastAsia" w:asciiTheme="minorEastAsia" w:hAnsiTheme="minorEastAsia" w:eastAsiaTheme="minorEastAsia"/>
          <w:b/>
          <w:sz w:val="24"/>
          <w:highlight w:val="none"/>
        </w:rPr>
        <w:t>响应文件的提交、修改与撤回</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17</w:t>
      </w:r>
      <w:r>
        <w:rPr>
          <w:rFonts w:hint="eastAsia" w:asciiTheme="minorEastAsia" w:hAnsiTheme="minorEastAsia" w:eastAsiaTheme="minorEastAsia"/>
          <w:sz w:val="24"/>
          <w:highlight w:val="none"/>
        </w:rPr>
        <w:t>.1供应商应当在第一章“</w:t>
      </w:r>
      <w:r>
        <w:rPr>
          <w:rFonts w:hint="eastAsia" w:asciiTheme="minorEastAsia" w:hAnsiTheme="minorEastAsia" w:eastAsiaTheme="minorEastAsia"/>
          <w:sz w:val="24"/>
          <w:highlight w:val="none"/>
          <w:lang w:eastAsia="zh-CN"/>
        </w:rPr>
        <w:t>磋商公告</w:t>
      </w:r>
      <w:r>
        <w:rPr>
          <w:rFonts w:hint="eastAsia" w:asciiTheme="minorEastAsia" w:hAnsiTheme="minorEastAsia" w:eastAsiaTheme="minorEastAsia"/>
          <w:sz w:val="24"/>
          <w:highlight w:val="none"/>
        </w:rPr>
        <w:t>”规定的响应文件提交截止时间前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将密封的响应文件在磋商地点提交</w:t>
      </w:r>
      <w:r>
        <w:rPr>
          <w:rFonts w:asciiTheme="minorEastAsia" w:hAnsiTheme="minorEastAsia" w:eastAsiaTheme="minorEastAsia"/>
          <w:sz w:val="24"/>
          <w:highlight w:val="none"/>
        </w:rPr>
        <w:t>。</w:t>
      </w:r>
    </w:p>
    <w:p>
      <w:pPr>
        <w:spacing w:line="360" w:lineRule="auto"/>
        <w:ind w:firstLine="435"/>
        <w:rPr>
          <w:rFonts w:ascii="宋体" w:hAnsi="宋体" w:eastAsia="宋体"/>
          <w:sz w:val="24"/>
          <w:highlight w:val="none"/>
        </w:rPr>
      </w:pPr>
      <w:r>
        <w:rPr>
          <w:rFonts w:hint="eastAsia" w:asciiTheme="minorEastAsia" w:hAnsiTheme="minorEastAsia" w:eastAsiaTheme="minorEastAsia"/>
          <w:sz w:val="24"/>
          <w:highlight w:val="none"/>
        </w:rPr>
        <w:t>17.</w:t>
      </w: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在响应文件提交截止时间之后，供应商不得对其响应文件做任何修改。</w:t>
      </w:r>
      <w:r>
        <w:rPr>
          <w:rFonts w:hint="eastAsia" w:ascii="宋体" w:hAnsi="宋体" w:eastAsia="宋体"/>
          <w:sz w:val="24"/>
          <w:highlight w:val="none"/>
        </w:rPr>
        <w:t>但属于磋商小组在评审中发现的计算错误并进行核实的修改、按照磋商文件的变动情况和磋商小组的要求重新提交响应文件的，不在此列。</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磋商小组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.1本项目将依法组建磋商小组，磋商小组成员由3人以上</w:t>
      </w:r>
      <w:r>
        <w:rPr>
          <w:rFonts w:hint="eastAsia" w:asciiTheme="minorEastAsia" w:hAnsiTheme="minorEastAsia" w:eastAsiaTheme="minorEastAsia"/>
          <w:sz w:val="24"/>
          <w:highlight w:val="none"/>
        </w:rPr>
        <w:t>（含）</w:t>
      </w:r>
      <w:r>
        <w:rPr>
          <w:rFonts w:asciiTheme="minorEastAsia" w:hAnsiTheme="minorEastAsia" w:eastAsiaTheme="minorEastAsia"/>
          <w:sz w:val="24"/>
          <w:highlight w:val="none"/>
        </w:rPr>
        <w:t>单数组成，磋商小组及其成员应当依照政府采购的有关规定履行相关职责和义务。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.2磋商小组依法对响应文件进行评审，并根据磋商文件规定的程序、评定成交的标准等事项与实质性响应磋商文件要求的供应商进行磋商。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.3磋商小组应当从质量和服务均能满足磋商文件实质性响应要求的供应商中，按照评审方法和标准</w:t>
      </w:r>
      <w:r>
        <w:rPr>
          <w:rFonts w:hint="eastAsia" w:asciiTheme="minorEastAsia" w:hAnsiTheme="minorEastAsia" w:eastAsiaTheme="minorEastAsia"/>
          <w:sz w:val="24"/>
          <w:highlight w:val="none"/>
        </w:rPr>
        <w:t>推荐</w:t>
      </w:r>
      <w:r>
        <w:rPr>
          <w:rFonts w:asciiTheme="minorEastAsia" w:hAnsiTheme="minorEastAsia" w:eastAsiaTheme="minorEastAsia"/>
          <w:sz w:val="24"/>
          <w:highlight w:val="none"/>
        </w:rPr>
        <w:t>成交候选供应商，并编写</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报告。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19.响应文件的评审与磋商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1采购人和采购代理机构将在</w:t>
      </w:r>
      <w:r>
        <w:rPr>
          <w:rFonts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规定的时间和地点组织磋商。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19.2竞争性磋商活动采用综合评分法评审。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综合评分法，是指响应文件满足磋商文件全部实质性要求且按评审因素的量化指标评审得分最高的供应商为成交候选供应商的评审方法。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19.3磋商小组将按照磋商文件规定的评审方法和标准对供应商独立进行评审。评审程序如下：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w:t>
      </w:r>
      <w:r>
        <w:rPr>
          <w:rFonts w:hint="eastAsia" w:asciiTheme="minorEastAsia" w:hAnsiTheme="minorEastAsia" w:eastAsiaTheme="minorEastAsia"/>
          <w:b/>
          <w:sz w:val="24"/>
          <w:highlight w:val="none"/>
        </w:rPr>
        <w:t>初审</w:t>
      </w:r>
      <w:r>
        <w:rPr>
          <w:rFonts w:hint="eastAsia" w:asciiTheme="minorEastAsia" w:hAnsiTheme="minorEastAsia" w:eastAsiaTheme="minorEastAsia"/>
          <w:sz w:val="24"/>
          <w:highlight w:val="none"/>
        </w:rPr>
        <w:t>。磋商小组对供应商必须满足和实质性响应的内容进行评审，供应商未实质性响应磋商文件要求导致响应无效的，磋商小组将以书面询标的方式告知有关供应商。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r>
        <w:rPr>
          <w:rFonts w:asciiTheme="minorEastAsia" w:hAnsiTheme="minorEastAsia" w:eastAsiaTheme="minorEastAsia"/>
          <w:sz w:val="24"/>
          <w:highlight w:val="none"/>
        </w:rPr>
        <w:t>或采购代理机构</w:t>
      </w:r>
      <w:r>
        <w:rPr>
          <w:rFonts w:hint="eastAsia" w:asciiTheme="minorEastAsia" w:hAnsiTheme="minorEastAsia" w:eastAsiaTheme="minorEastAsia"/>
          <w:sz w:val="24"/>
          <w:highlight w:val="none"/>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pacing w:line="360" w:lineRule="auto"/>
        <w:ind w:firstLine="360" w:firstLineChars="1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以联合体形式参加磋商的，联合体任何成员存在以上不良信用记录的，联合体磋商将被认定为</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19.3.1.2信用信息查询渠道：中国政府采购网（www.ccgp.gov.cn）、“信用中国”网站（www.creditchina.gov.cn）、国家企业信用信息公示系统（</w:t>
      </w:r>
      <w:r>
        <w:rPr>
          <w:rFonts w:asciiTheme="minorEastAsia" w:hAnsiTheme="minorEastAsia" w:eastAsiaTheme="minorEastAsia"/>
          <w:sz w:val="24"/>
          <w:highlight w:val="none"/>
        </w:rPr>
        <w:t>www.gsxt.gov.cn</w:t>
      </w:r>
      <w:r>
        <w:rPr>
          <w:rFonts w:hint="eastAsia" w:asciiTheme="minorEastAsia" w:hAnsiTheme="minorEastAsia" w:eastAsiaTheme="minorEastAsia"/>
          <w:sz w:val="24"/>
          <w:highlight w:val="none"/>
        </w:rPr>
        <w:t>）。</w:t>
      </w:r>
    </w:p>
    <w:p>
      <w:pPr>
        <w:spacing w:line="360" w:lineRule="auto"/>
        <w:ind w:firstLine="472" w:firstLineChars="196"/>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注：</w:t>
      </w:r>
      <w:r>
        <w:rPr>
          <w:rFonts w:hint="eastAsia" w:asciiTheme="minorEastAsia" w:hAnsiTheme="minorEastAsia" w:eastAsiaTheme="minorEastAsia"/>
          <w:sz w:val="24"/>
          <w:highlight w:val="none"/>
        </w:rPr>
        <w:t>企业经营异常名录以国家企业信用信息公示系统查询结果为准。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19.3.1.3信用信息记录方式：采购人或采购代理机构工作人员将查询网页打印、签字并存档备查。供应商不良信用记录以采购人或采购代理机构查询结果为准。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在本磋商文件规定的查询时间之外，网站信息发生的任何变更均不作为初审依据。</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供应商自行提供的与网站信息不一致的其他证明材料亦不作为初审依据。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19.3.2</w:t>
      </w:r>
      <w:r>
        <w:rPr>
          <w:rFonts w:hint="eastAsia" w:asciiTheme="minorEastAsia" w:hAnsiTheme="minorEastAsia" w:eastAsiaTheme="minorEastAsia"/>
          <w:b/>
          <w:sz w:val="24"/>
          <w:highlight w:val="none"/>
        </w:rPr>
        <w:t>磋商</w:t>
      </w:r>
      <w:r>
        <w:rPr>
          <w:rFonts w:hint="eastAsia" w:asciiTheme="minorEastAsia" w:hAnsiTheme="minorEastAsia" w:eastAsiaTheme="minorEastAsia"/>
          <w:sz w:val="24"/>
          <w:highlight w:val="none"/>
        </w:rPr>
        <w:t>。初审合格后，磋商小组将按响应文件提交顺序集中与单一供应商分别进行磋商，并给予所有参加磋商的供应商平等的磋商机会。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19.3.3</w:t>
      </w:r>
      <w:r>
        <w:rPr>
          <w:rFonts w:asciiTheme="minorEastAsia" w:hAnsiTheme="minorEastAsia" w:eastAsiaTheme="minorEastAsia"/>
          <w:b/>
          <w:sz w:val="24"/>
          <w:highlight w:val="none"/>
        </w:rPr>
        <w:t>报价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磋商结束后，磋商小组应当要求所有</w:t>
      </w:r>
      <w:r>
        <w:rPr>
          <w:rFonts w:hint="eastAsia" w:asciiTheme="minorEastAsia" w:hAnsiTheme="minorEastAsia" w:eastAsiaTheme="minorEastAsia"/>
          <w:sz w:val="24"/>
          <w:highlight w:val="none"/>
        </w:rPr>
        <w:t>实质性响应</w:t>
      </w:r>
      <w:r>
        <w:rPr>
          <w:rFonts w:asciiTheme="minorEastAsia" w:hAnsiTheme="minorEastAsia" w:eastAsiaTheme="minorEastAsia"/>
          <w:sz w:val="24"/>
          <w:highlight w:val="none"/>
        </w:rPr>
        <w:t>的供应商在规定时间内提交最后报价</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b/>
          <w:bCs/>
          <w:sz w:val="24"/>
          <w:highlight w:val="none"/>
          <w:lang w:eastAsia="zh-CN"/>
        </w:rPr>
        <w:t>未在规定时间内提交最后报价的将该供应商上一轮报价视为本轮报价或最后报价</w:t>
      </w:r>
      <w:r>
        <w:rPr>
          <w:rFonts w:hint="eastAsia"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19.3.4</w:t>
      </w:r>
      <w:r>
        <w:rPr>
          <w:rFonts w:hint="eastAsia" w:asciiTheme="minorEastAsia" w:hAnsiTheme="minorEastAsia" w:eastAsiaTheme="minorEastAsia"/>
          <w:b/>
          <w:sz w:val="24"/>
          <w:highlight w:val="none"/>
        </w:rPr>
        <w:t>综合评分</w:t>
      </w:r>
      <w:r>
        <w:rPr>
          <w:rFonts w:hint="eastAsia" w:asciiTheme="minorEastAsia" w:hAnsiTheme="minorEastAsia" w:eastAsiaTheme="minorEastAsia"/>
          <w:sz w:val="24"/>
          <w:highlight w:val="none"/>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19.4相关说明。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19.4.1为保证磋商活动顺利进行，供应商可派相关技术人员进行</w:t>
      </w:r>
      <w:r>
        <w:rPr>
          <w:rFonts w:hint="eastAsia" w:asciiTheme="minorEastAsia" w:hAnsiTheme="minorEastAsia" w:eastAsiaTheme="minorEastAsia"/>
          <w:sz w:val="24"/>
          <w:highlight w:val="none"/>
          <w:lang w:val="en-US" w:eastAsia="zh-CN"/>
        </w:rPr>
        <w:t>现场</w:t>
      </w:r>
      <w:r>
        <w:rPr>
          <w:rFonts w:hint="eastAsia" w:asciiTheme="minorEastAsia" w:hAnsiTheme="minorEastAsia" w:eastAsiaTheme="minorEastAsia"/>
          <w:sz w:val="24"/>
          <w:highlight w:val="none"/>
        </w:rPr>
        <w:t xml:space="preserve">答疑； </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19.4.2磋</w:t>
      </w:r>
      <w:r>
        <w:rPr>
          <w:rFonts w:asciiTheme="minorEastAsia" w:hAnsiTheme="minorEastAsia" w:eastAsiaTheme="minorEastAsia"/>
          <w:sz w:val="24"/>
          <w:highlight w:val="none"/>
        </w:rPr>
        <w:t>商小组根据与</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磋商情况可能实质性变动</w:t>
      </w:r>
      <w:r>
        <w:rPr>
          <w:rFonts w:hint="eastAsia" w:asciiTheme="minorEastAsia" w:hAnsiTheme="minorEastAsia" w:eastAsiaTheme="minorEastAsia"/>
          <w:sz w:val="24"/>
          <w:highlight w:val="none"/>
        </w:rPr>
        <w:t>磋商文件</w:t>
      </w:r>
      <w:r>
        <w:rPr>
          <w:rFonts w:asciiTheme="minorEastAsia" w:hAnsiTheme="minorEastAsia" w:eastAsiaTheme="minorEastAsia"/>
          <w:sz w:val="24"/>
          <w:highlight w:val="none"/>
        </w:rPr>
        <w:t>的内容，包括采购需求中的技术、服务要求以及合同草案条款。磋商文件有实质性变动的，</w:t>
      </w:r>
      <w:r>
        <w:rPr>
          <w:rFonts w:hint="eastAsia" w:asciiTheme="minorEastAsia" w:hAnsiTheme="minorEastAsia" w:eastAsiaTheme="minorEastAsia"/>
          <w:sz w:val="24"/>
          <w:highlight w:val="none"/>
        </w:rPr>
        <w:t>经采购人代表确认作为磋商文件的有效组成部分，</w:t>
      </w:r>
      <w:r>
        <w:rPr>
          <w:rFonts w:asciiTheme="minorEastAsia" w:hAnsiTheme="minorEastAsia" w:eastAsiaTheme="minorEastAsia"/>
          <w:sz w:val="24"/>
          <w:highlight w:val="none"/>
        </w:rPr>
        <w:t>磋商小组</w:t>
      </w:r>
      <w:r>
        <w:rPr>
          <w:rFonts w:hint="eastAsia" w:asciiTheme="minorEastAsia" w:hAnsiTheme="minorEastAsia" w:eastAsiaTheme="minorEastAsia"/>
          <w:sz w:val="24"/>
          <w:highlight w:val="none"/>
        </w:rPr>
        <w:t>将</w:t>
      </w:r>
      <w:r>
        <w:rPr>
          <w:rFonts w:asciiTheme="minorEastAsia" w:hAnsiTheme="minorEastAsia" w:eastAsiaTheme="minorEastAsia"/>
          <w:sz w:val="24"/>
          <w:highlight w:val="none"/>
        </w:rPr>
        <w:t>以书面形式通知所有参加磋商的供应商。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19.4.3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19.4.4</w:t>
      </w:r>
      <w:r>
        <w:rPr>
          <w:rFonts w:asciiTheme="minorEastAsia" w:hAnsiTheme="minorEastAsia" w:eastAsiaTheme="minorEastAsia"/>
          <w:sz w:val="24"/>
          <w:highlight w:val="none"/>
        </w:rPr>
        <w:t>无论何种原因，即使供应商</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时携带了证书材料的原件，但响应文件中未提供与之内容完全一致的</w:t>
      </w:r>
      <w:r>
        <w:rPr>
          <w:rFonts w:hint="eastAsia" w:asciiTheme="minorEastAsia" w:hAnsiTheme="minorEastAsia" w:eastAsiaTheme="minorEastAsia"/>
          <w:sz w:val="24"/>
          <w:highlight w:val="none"/>
        </w:rPr>
        <w:t>扫描件</w:t>
      </w:r>
      <w:r>
        <w:rPr>
          <w:rFonts w:hint="eastAsia" w:asciiTheme="minorEastAsia" w:hAnsiTheme="minorEastAsia" w:eastAsiaTheme="minorEastAsia"/>
          <w:sz w:val="24"/>
          <w:highlight w:val="none"/>
          <w:lang w:val="en-US" w:eastAsia="zh-CN"/>
        </w:rPr>
        <w:t>或影印件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小组可以视同其未提供。</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19.4.5磋商</w:t>
      </w:r>
      <w:r>
        <w:rPr>
          <w:rFonts w:asciiTheme="minorEastAsia" w:hAnsiTheme="minorEastAsia" w:eastAsiaTheme="minorEastAsia"/>
          <w:sz w:val="24"/>
          <w:highlight w:val="none"/>
        </w:rPr>
        <w:t>小组决定响应文件的响应性及符合性只根据响应文件本身的内容，而不寻求其他外部证据。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供应商</w:t>
      </w:r>
      <w:r>
        <w:rPr>
          <w:rFonts w:hint="eastAsia" w:asciiTheme="minorEastAsia" w:hAnsiTheme="minorEastAsia" w:eastAsiaTheme="minorEastAsia"/>
          <w:sz w:val="24"/>
          <w:highlight w:val="none"/>
        </w:rPr>
        <w:t>授权</w:t>
      </w:r>
      <w:r>
        <w:rPr>
          <w:rFonts w:asciiTheme="minorEastAsia" w:hAnsiTheme="minorEastAsia" w:eastAsiaTheme="minorEastAsia"/>
          <w:sz w:val="24"/>
          <w:highlight w:val="none"/>
        </w:rPr>
        <w:t>代表对</w:t>
      </w:r>
      <w:r>
        <w:rPr>
          <w:rFonts w:hint="eastAsia" w:asciiTheme="minorEastAsia" w:hAnsiTheme="minorEastAsia" w:eastAsiaTheme="minorEastAsia"/>
          <w:sz w:val="24"/>
          <w:highlight w:val="none"/>
        </w:rPr>
        <w:t>磋商过程</w:t>
      </w:r>
      <w:r>
        <w:rPr>
          <w:rFonts w:asciiTheme="minorEastAsia" w:hAnsiTheme="minorEastAsia" w:eastAsiaTheme="minorEastAsia"/>
          <w:sz w:val="24"/>
          <w:highlight w:val="none"/>
        </w:rPr>
        <w:t>有疑义，以及认为采购人、采购代理机构相关工作人员有需要回避的情形的，应当场提出询问或者回避申请</w:t>
      </w:r>
      <w:r>
        <w:rPr>
          <w:rFonts w:hint="eastAsia" w:asciiTheme="minorEastAsia" w:hAnsiTheme="minorEastAsia" w:eastAsiaTheme="minorEastAsia"/>
          <w:sz w:val="24"/>
          <w:highlight w:val="none"/>
        </w:rPr>
        <w:t>，并说明理由。</w:t>
      </w:r>
      <w:r>
        <w:rPr>
          <w:rFonts w:asciiTheme="minorEastAsia" w:hAnsiTheme="minorEastAsia" w:eastAsiaTheme="minorEastAsia"/>
          <w:sz w:val="24"/>
          <w:highlight w:val="none"/>
        </w:rPr>
        <w:t xml:space="preserve"> </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20</w:t>
      </w:r>
      <w:r>
        <w:rPr>
          <w:rFonts w:asciiTheme="minorEastAsia" w:hAnsiTheme="minorEastAsia" w:eastAsiaTheme="minorEastAsia"/>
          <w:b/>
          <w:sz w:val="24"/>
          <w:highlight w:val="none"/>
        </w:rPr>
        <w:t>.终止竞争性磋商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20.1出现下列情况之一时，采购人和采购代理机构有权宣布终止竞争性磋商采购，并将理由通知所有供应商：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（1）有效供应商数量不足，导致本次磋商缺乏竞争的；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（2）出现影响采购公正的违法、违规行为的；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（3）因重大变故，采购任务取消的；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（4）政府采购法律法规规定的其他情形。</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.响应文件的澄清、说明或</w:t>
      </w:r>
      <w:r>
        <w:rPr>
          <w:rFonts w:hint="eastAsia" w:asciiTheme="minorEastAsia" w:hAnsiTheme="minorEastAsia" w:eastAsiaTheme="minorEastAsia"/>
          <w:b/>
          <w:sz w:val="24"/>
          <w:highlight w:val="none"/>
        </w:rPr>
        <w:t>更正</w:t>
      </w:r>
    </w:p>
    <w:p>
      <w:pPr>
        <w:spacing w:line="360" w:lineRule="auto"/>
        <w:ind w:firstLine="470" w:firstLineChars="196"/>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sz w:val="24"/>
          <w:highlight w:val="none"/>
        </w:rPr>
      </w:pPr>
      <w:r>
        <w:rPr>
          <w:rFonts w:hint="eastAsia" w:ascii="宋体" w:hAnsi="宋体" w:eastAsia="宋体"/>
          <w:b/>
          <w:sz w:val="24"/>
          <w:highlight w:val="none"/>
        </w:rPr>
        <w:t>如有询标，授权代表（或法定代表人）应现场携带本人有效身份证明原件参加询标。因授权代表联系不上、没有及时回复、未到</w:t>
      </w:r>
      <w:r>
        <w:rPr>
          <w:rFonts w:hint="eastAsia" w:ascii="宋体" w:hAnsi="宋体" w:eastAsia="宋体"/>
          <w:b/>
          <w:sz w:val="24"/>
          <w:highlight w:val="none"/>
          <w:lang w:eastAsia="zh-CN"/>
        </w:rPr>
        <w:t>磋商</w:t>
      </w:r>
      <w:r>
        <w:rPr>
          <w:rFonts w:hint="eastAsia" w:ascii="宋体" w:hAnsi="宋体" w:eastAsia="宋体"/>
          <w:b/>
          <w:sz w:val="24"/>
          <w:highlight w:val="none"/>
        </w:rPr>
        <w:t>现场等情形而无法接受</w:t>
      </w:r>
      <w:r>
        <w:rPr>
          <w:rFonts w:hint="eastAsia" w:ascii="宋体" w:hAnsi="宋体" w:eastAsia="宋体"/>
          <w:b/>
          <w:sz w:val="24"/>
          <w:highlight w:val="none"/>
          <w:lang w:eastAsia="zh-CN"/>
        </w:rPr>
        <w:t>磋商</w:t>
      </w:r>
      <w:r>
        <w:rPr>
          <w:rFonts w:hint="eastAsia" w:ascii="宋体" w:hAnsi="宋体" w:eastAsia="宋体"/>
          <w:b/>
          <w:sz w:val="24"/>
          <w:highlight w:val="none"/>
        </w:rPr>
        <w:t>小组询标的，供应商自行承担相关风险。</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.最后报价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22.1</w:t>
      </w:r>
      <w:r>
        <w:rPr>
          <w:rFonts w:asciiTheme="minorEastAsia" w:hAnsiTheme="minorEastAsia" w:eastAsiaTheme="minorEastAsia"/>
          <w:sz w:val="24"/>
          <w:highlight w:val="none"/>
        </w:rPr>
        <w:t>磋商并不限定只进行二轮报价，如果磋商小组认为有必要，可以要求供应商进行多轮报价。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w:t>
      </w:r>
      <w:r>
        <w:rPr>
          <w:rFonts w:asciiTheme="minorEastAsia" w:hAnsiTheme="minorEastAsia" w:eastAsiaTheme="minorEastAsia"/>
          <w:sz w:val="24"/>
          <w:highlight w:val="none"/>
        </w:rPr>
        <w:t>在磋商内容不做实质性变更或重大调整的前提下，供应商下轮报价不得高于上一轮报价</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b/>
          <w:bCs/>
          <w:sz w:val="24"/>
          <w:highlight w:val="none"/>
          <w:lang w:eastAsia="zh-CN"/>
        </w:rPr>
        <w:t>未在规定时间内提交最后报价的将该供应商上一轮报价视为本轮报价或最后报价</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22.3</w:t>
      </w:r>
      <w:r>
        <w:rPr>
          <w:rFonts w:asciiTheme="minorEastAsia" w:hAnsiTheme="minorEastAsia" w:eastAsiaTheme="minorEastAsia"/>
          <w:sz w:val="24"/>
          <w:highlight w:val="none"/>
        </w:rPr>
        <w:t>最后报价是供应商响应文件的有效组成部分，最后报价也是签订合同的依据。</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22.4根据《政府采购促进中小企业发展管理办法》（财库〔2020〕46号）、《财政部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w:t>
      </w:r>
      <w:r>
        <w:rPr>
          <w:rFonts w:hint="eastAsia" w:asciiTheme="minorEastAsia" w:hAnsiTheme="minorEastAsia" w:eastAsiaTheme="minorEastAsia"/>
          <w:sz w:val="24"/>
          <w:highlight w:val="none"/>
        </w:rPr>
        <w:t>业、监狱企业或残疾人福利性单位的，不重复进行最后报价扣除。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接受大中型企业与小微企业组成联合体或者允许大中型企业向一家或者多家小微企业分包的，对于联合协议或者分包意向协议约定小微企业的合同份额占到合同总金额</w:t>
      </w:r>
      <w:r>
        <w:rPr>
          <w:rFonts w:asciiTheme="minorEastAsia" w:hAnsiTheme="minorEastAsia" w:eastAsiaTheme="minorEastAsia"/>
          <w:sz w:val="24"/>
          <w:highlight w:val="none"/>
        </w:rPr>
        <w:t>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以联合体形式参加政府采购活动，联合体各方均为中小企业的，联合体视同中小企业。其中，联合体各方均为小微企业的，联合体视同小微企业。</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23.</w:t>
      </w:r>
      <w:r>
        <w:rPr>
          <w:rFonts w:hint="eastAsia" w:asciiTheme="minorEastAsia" w:hAnsiTheme="minorEastAsia" w:eastAsiaTheme="minorEastAsia"/>
          <w:b/>
          <w:sz w:val="24"/>
          <w:highlight w:val="none"/>
        </w:rPr>
        <w:t>成交候选供应商的推荐原则及标准</w:t>
      </w:r>
    </w:p>
    <w:p>
      <w:pPr>
        <w:spacing w:line="360" w:lineRule="auto"/>
        <w:ind w:firstLine="435"/>
        <w:rPr>
          <w:rFonts w:ascii="宋体" w:hAnsi="宋体" w:eastAsia="宋体"/>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如一个分包内只有一种产品，不同</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所投产品为同一品牌的，</w:t>
      </w:r>
      <w:r>
        <w:rPr>
          <w:rFonts w:ascii="宋体" w:hAnsi="宋体" w:eastAsia="宋体"/>
          <w:sz w:val="24"/>
          <w:highlight w:val="none"/>
        </w:rPr>
        <w:t>提供相同品牌产品且通过</w:t>
      </w:r>
      <w:r>
        <w:rPr>
          <w:rFonts w:hint="eastAsia" w:ascii="宋体" w:hAnsi="宋体" w:eastAsia="宋体"/>
          <w:sz w:val="24"/>
          <w:highlight w:val="none"/>
        </w:rPr>
        <w:t>初审</w:t>
      </w:r>
      <w:r>
        <w:rPr>
          <w:rFonts w:ascii="宋体" w:hAnsi="宋体" w:eastAsia="宋体"/>
          <w:sz w:val="24"/>
          <w:highlight w:val="none"/>
        </w:rPr>
        <w:t>的不同</w:t>
      </w:r>
      <w:r>
        <w:rPr>
          <w:rFonts w:hint="eastAsia" w:ascii="宋体" w:hAnsi="宋体" w:eastAsia="宋体"/>
          <w:sz w:val="24"/>
          <w:highlight w:val="none"/>
        </w:rPr>
        <w:t>供应商</w:t>
      </w:r>
      <w:r>
        <w:rPr>
          <w:rFonts w:ascii="宋体" w:hAnsi="宋体" w:eastAsia="宋体"/>
          <w:sz w:val="24"/>
          <w:highlight w:val="none"/>
        </w:rPr>
        <w:t>，按一家</w:t>
      </w:r>
      <w:r>
        <w:rPr>
          <w:rFonts w:hint="eastAsia" w:ascii="宋体" w:hAnsi="宋体" w:eastAsia="宋体"/>
          <w:sz w:val="24"/>
          <w:highlight w:val="none"/>
        </w:rPr>
        <w:t>供应商</w:t>
      </w:r>
      <w:r>
        <w:rPr>
          <w:rFonts w:ascii="宋体" w:hAnsi="宋体" w:eastAsia="宋体"/>
          <w:sz w:val="24"/>
          <w:highlight w:val="none"/>
        </w:rPr>
        <w:t>计算，评审后得分最高的同品牌</w:t>
      </w:r>
      <w:r>
        <w:rPr>
          <w:rFonts w:hint="eastAsia" w:ascii="宋体" w:hAnsi="宋体" w:eastAsia="宋体"/>
          <w:sz w:val="24"/>
          <w:highlight w:val="none"/>
        </w:rPr>
        <w:t>供应商</w:t>
      </w:r>
      <w:r>
        <w:rPr>
          <w:rFonts w:ascii="宋体" w:hAnsi="宋体" w:eastAsia="宋体"/>
          <w:sz w:val="24"/>
          <w:highlight w:val="none"/>
        </w:rPr>
        <w:t>获得</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推荐资格；评审得分相同的，由采购人或者采购人</w:t>
      </w:r>
      <w:r>
        <w:rPr>
          <w:rFonts w:hint="eastAsia" w:ascii="宋体" w:hAnsi="宋体" w:eastAsia="宋体"/>
          <w:sz w:val="24"/>
          <w:highlight w:val="none"/>
        </w:rPr>
        <w:t>授权磋商小组</w:t>
      </w:r>
      <w:r>
        <w:rPr>
          <w:rFonts w:ascii="宋体" w:hAnsi="宋体" w:eastAsia="宋体"/>
          <w:sz w:val="24"/>
          <w:highlight w:val="none"/>
        </w:rPr>
        <w:t>按照</w:t>
      </w:r>
      <w:r>
        <w:rPr>
          <w:rFonts w:hint="eastAsia" w:ascii="宋体" w:hAnsi="宋体" w:eastAsia="宋体"/>
          <w:sz w:val="24"/>
          <w:highlight w:val="none"/>
        </w:rPr>
        <w:t>磋商</w:t>
      </w:r>
      <w:r>
        <w:rPr>
          <w:rFonts w:ascii="宋体" w:hAnsi="宋体" w:eastAsia="宋体"/>
          <w:sz w:val="24"/>
          <w:highlight w:val="none"/>
        </w:rPr>
        <w:t>文件中</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方法</w:t>
      </w:r>
      <w:r>
        <w:rPr>
          <w:rFonts w:hint="eastAsia" w:asciiTheme="minorEastAsia" w:hAnsiTheme="minorEastAsia" w:eastAsiaTheme="minorEastAsia"/>
          <w:sz w:val="24"/>
          <w:highlight w:val="none"/>
        </w:rPr>
        <w:t>和标准</w:t>
      </w:r>
      <w:r>
        <w:rPr>
          <w:rFonts w:ascii="宋体" w:hAnsi="宋体" w:eastAsia="宋体"/>
          <w:sz w:val="24"/>
          <w:highlight w:val="none"/>
        </w:rPr>
        <w:t>规定的方式确定一个</w:t>
      </w:r>
      <w:r>
        <w:rPr>
          <w:rFonts w:hint="eastAsia" w:ascii="宋体" w:hAnsi="宋体" w:eastAsia="宋体"/>
          <w:sz w:val="24"/>
          <w:highlight w:val="none"/>
        </w:rPr>
        <w:t>供应商</w:t>
      </w:r>
      <w:r>
        <w:rPr>
          <w:rFonts w:ascii="宋体" w:hAnsi="宋体" w:eastAsia="宋体"/>
          <w:sz w:val="24"/>
          <w:highlight w:val="none"/>
        </w:rPr>
        <w:t>获得</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推荐资格；未规定的采取随机抽取方式确定，其他同品牌</w:t>
      </w:r>
      <w:r>
        <w:rPr>
          <w:rFonts w:hint="eastAsia" w:ascii="宋体" w:hAnsi="宋体" w:eastAsia="宋体"/>
          <w:sz w:val="24"/>
          <w:highlight w:val="none"/>
        </w:rPr>
        <w:t>供应商</w:t>
      </w:r>
      <w:r>
        <w:rPr>
          <w:rFonts w:ascii="宋体" w:hAnsi="宋体" w:eastAsia="宋体"/>
          <w:sz w:val="24"/>
          <w:highlight w:val="none"/>
        </w:rPr>
        <w:t>不作为</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如一个分包内包含多种产品的，采购人或采购代理机构将在</w:t>
      </w:r>
      <w:r>
        <w:rPr>
          <w:rFonts w:hint="eastAsia" w:asciiTheme="minorEastAsia" w:hAnsiTheme="minorEastAsia" w:eastAsiaTheme="minorEastAsia"/>
          <w:sz w:val="24"/>
          <w:highlight w:val="none"/>
          <w:u w:val="single"/>
        </w:rPr>
        <w:t>供应商</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中载明核心产品，多家</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提供的核心产品品牌相同的，按第2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1款</w:t>
      </w:r>
      <w:r>
        <w:rPr>
          <w:rFonts w:asciiTheme="minorEastAsia" w:hAnsiTheme="minorEastAsia" w:eastAsiaTheme="minorEastAsia"/>
          <w:sz w:val="24"/>
          <w:highlight w:val="none"/>
        </w:rPr>
        <w:t>规定处理。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23.</w:t>
      </w:r>
      <w:r>
        <w:rPr>
          <w:rFonts w:hint="eastAsia" w:asciiTheme="minorEastAsia" w:hAnsiTheme="minorEastAsia" w:eastAsiaTheme="minorEastAsia"/>
          <w:sz w:val="24"/>
          <w:highlight w:val="none"/>
        </w:rPr>
        <w:t>3磋商小组</w:t>
      </w:r>
      <w:r>
        <w:rPr>
          <w:rFonts w:asciiTheme="minorEastAsia" w:hAnsiTheme="minorEastAsia" w:eastAsiaTheme="minorEastAsia"/>
          <w:sz w:val="24"/>
          <w:highlight w:val="none"/>
        </w:rPr>
        <w:t>依据本项目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文件所约定的</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方法</w:t>
      </w:r>
      <w:r>
        <w:rPr>
          <w:rFonts w:hint="eastAsia" w:asciiTheme="minorEastAsia" w:hAnsiTheme="minorEastAsia" w:eastAsiaTheme="minorEastAsia"/>
          <w:sz w:val="24"/>
          <w:highlight w:val="none"/>
        </w:rPr>
        <w:t>和标准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按照有效供应商综合总得分由高到低依次推荐成交候选供应商。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综合总得分出现两家或两家以上相同者，按最后报价由低到高排序推荐成交候选供应商；综合总得分且最后报价均相同的，由磋商小组</w:t>
      </w:r>
      <w:r>
        <w:rPr>
          <w:rFonts w:ascii="宋体" w:hAnsi="宋体" w:eastAsia="宋体"/>
          <w:sz w:val="24"/>
          <w:highlight w:val="none"/>
        </w:rPr>
        <w:t>采取随机抽取方式确定</w:t>
      </w:r>
      <w:r>
        <w:rPr>
          <w:rFonts w:hint="eastAsia" w:asciiTheme="minorEastAsia" w:hAnsiTheme="minorEastAsia" w:eastAsiaTheme="minorEastAsia"/>
          <w:sz w:val="24"/>
          <w:highlight w:val="none"/>
        </w:rPr>
        <w:t>成交候选供应商。</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确定成交候选供应商和成交供应商</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24.1磋商小组根据综合评分的结果和</w:t>
      </w:r>
      <w:r>
        <w:rPr>
          <w:rFonts w:hint="eastAsia" w:asciiTheme="minorEastAsia" w:hAnsiTheme="minorEastAsia" w:eastAsiaTheme="minorEastAsia"/>
          <w:sz w:val="24"/>
          <w:highlight w:val="none"/>
          <w:u w:val="single"/>
        </w:rPr>
        <w:t>供应商</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中规定</w:t>
      </w:r>
      <w:r>
        <w:rPr>
          <w:rFonts w:hint="eastAsia" w:ascii="宋体" w:hAnsi="宋体" w:eastAsia="宋体"/>
          <w:sz w:val="24"/>
          <w:highlight w:val="none"/>
        </w:rPr>
        <w:t>确定成交候选供应商，并标明排列顺序。排名第一的成交候选供应商经采购人或采购人授权的磋商小组确定为成交供应商后，由</w:t>
      </w:r>
      <w:r>
        <w:rPr>
          <w:rFonts w:asciiTheme="minorEastAsia" w:hAnsiTheme="minorEastAsia" w:eastAsiaTheme="minorEastAsia"/>
          <w:sz w:val="24"/>
          <w:highlight w:val="none"/>
        </w:rPr>
        <w:t>采购代理机构</w:t>
      </w:r>
      <w:r>
        <w:rPr>
          <w:rFonts w:hint="eastAsia" w:ascii="宋体" w:hAnsi="宋体" w:eastAsia="宋体"/>
          <w:sz w:val="24"/>
          <w:highlight w:val="none"/>
        </w:rPr>
        <w:t>在指定媒体上予以公告。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.编写评审报告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保密要求</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6.1评审将在严格保密的情况下进行。</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6.2有关人员</w:t>
      </w:r>
      <w:r>
        <w:rPr>
          <w:rFonts w:ascii="宋体" w:hAnsi="宋体" w:eastAsia="宋体"/>
          <w:sz w:val="24"/>
          <w:highlight w:val="none"/>
        </w:rPr>
        <w:t>应当</w:t>
      </w:r>
      <w:r>
        <w:rPr>
          <w:rFonts w:hint="eastAsia" w:ascii="宋体" w:hAnsi="宋体" w:eastAsia="宋体"/>
          <w:sz w:val="24"/>
          <w:highlight w:val="none"/>
        </w:rPr>
        <w:t>遵</w:t>
      </w:r>
      <w:r>
        <w:rPr>
          <w:rFonts w:ascii="宋体" w:hAnsi="宋体" w:eastAsia="宋体"/>
          <w:sz w:val="24"/>
          <w:highlight w:val="none"/>
        </w:rPr>
        <w:t>守</w:t>
      </w:r>
      <w:r>
        <w:rPr>
          <w:rFonts w:hint="eastAsia" w:ascii="宋体" w:hAnsi="宋体" w:eastAsia="宋体"/>
          <w:sz w:val="24"/>
          <w:highlight w:val="none"/>
        </w:rPr>
        <w:t>评审</w:t>
      </w:r>
      <w:r>
        <w:rPr>
          <w:rFonts w:ascii="宋体" w:hAnsi="宋体" w:eastAsia="宋体"/>
          <w:sz w:val="24"/>
          <w:highlight w:val="none"/>
        </w:rPr>
        <w:t>工作纪律，不得</w:t>
      </w:r>
      <w:r>
        <w:rPr>
          <w:rFonts w:hint="eastAsia" w:ascii="宋体" w:hAnsi="宋体" w:eastAsia="宋体"/>
          <w:sz w:val="24"/>
          <w:highlight w:val="none"/>
        </w:rPr>
        <w:t>泄露评审文件</w:t>
      </w:r>
      <w:r>
        <w:rPr>
          <w:rFonts w:ascii="宋体" w:hAnsi="宋体" w:eastAsia="宋体"/>
          <w:sz w:val="24"/>
          <w:highlight w:val="none"/>
        </w:rPr>
        <w:t>、</w:t>
      </w:r>
      <w:r>
        <w:rPr>
          <w:rFonts w:hint="eastAsia" w:ascii="宋体" w:hAnsi="宋体" w:eastAsia="宋体"/>
          <w:sz w:val="24"/>
          <w:highlight w:val="none"/>
        </w:rPr>
        <w:t>评审</w:t>
      </w:r>
      <w:r>
        <w:rPr>
          <w:rFonts w:ascii="宋体" w:hAnsi="宋体" w:eastAsia="宋体"/>
          <w:sz w:val="24"/>
          <w:highlight w:val="none"/>
        </w:rPr>
        <w:t>情况和</w:t>
      </w:r>
      <w:r>
        <w:rPr>
          <w:rFonts w:hint="eastAsia" w:ascii="宋体" w:hAnsi="宋体" w:eastAsia="宋体"/>
          <w:sz w:val="24"/>
          <w:highlight w:val="none"/>
        </w:rPr>
        <w:t>评审</w:t>
      </w:r>
      <w:r>
        <w:rPr>
          <w:rFonts w:ascii="宋体" w:hAnsi="宋体" w:eastAsia="宋体"/>
          <w:sz w:val="24"/>
          <w:highlight w:val="none"/>
        </w:rPr>
        <w:t>中获悉的</w:t>
      </w:r>
      <w:r>
        <w:rPr>
          <w:rFonts w:hint="eastAsia" w:ascii="宋体" w:hAnsi="宋体" w:eastAsia="宋体"/>
          <w:sz w:val="24"/>
          <w:highlight w:val="none"/>
        </w:rPr>
        <w:t>国家秘密、</w:t>
      </w:r>
      <w:r>
        <w:rPr>
          <w:rFonts w:ascii="宋体" w:hAnsi="宋体" w:eastAsia="宋体"/>
          <w:sz w:val="24"/>
          <w:highlight w:val="none"/>
        </w:rPr>
        <w:t>商业秘密。</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.成交结果公告</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.1为体现“公开、公平、公正”的原则，磋商结束后，</w:t>
      </w:r>
      <w:r>
        <w:rPr>
          <w:rFonts w:hint="eastAsia" w:asciiTheme="minorEastAsia" w:hAnsiTheme="minorEastAsia" w:eastAsiaTheme="minorEastAsia"/>
          <w:sz w:val="24"/>
          <w:highlight w:val="none"/>
        </w:rPr>
        <w:t>采购代理机构将在</w:t>
      </w:r>
      <w:r>
        <w:rPr>
          <w:rFonts w:hint="eastAsia" w:asciiTheme="minorEastAsia" w:hAnsiTheme="minorEastAsia" w:eastAsiaTheme="minorEastAsia"/>
          <w:b/>
          <w:bCs/>
          <w:sz w:val="24"/>
          <w:highlight w:val="none"/>
          <w:lang w:eastAsia="zh-CN"/>
        </w:rPr>
        <w:t>“巢湖市金盾实业集团有限公司</w:t>
      </w:r>
      <w:r>
        <w:rPr>
          <w:rFonts w:hint="eastAsia" w:asciiTheme="minorEastAsia" w:hAnsiTheme="minorEastAsia" w:eastAsiaTheme="minorEastAsia"/>
          <w:b/>
          <w:bCs/>
          <w:sz w:val="24"/>
          <w:highlight w:val="none"/>
          <w:lang w:val="en-US" w:eastAsia="zh-CN"/>
        </w:rPr>
        <w:t>官网</w:t>
      </w:r>
      <w:r>
        <w:rPr>
          <w:rFonts w:hint="eastAsia" w:asciiTheme="minorEastAsia" w:hAnsiTheme="minorEastAsia" w:eastAsiaTheme="minorEastAsia"/>
          <w:b/>
          <w:bCs/>
          <w:sz w:val="24"/>
          <w:highlight w:val="none"/>
          <w:lang w:eastAsia="zh-CN"/>
        </w:rPr>
        <w:t>”</w:t>
      </w:r>
      <w:r>
        <w:rPr>
          <w:rFonts w:asciiTheme="minorEastAsia" w:hAnsiTheme="minorEastAsia" w:eastAsiaTheme="minorEastAsia"/>
          <w:sz w:val="24"/>
          <w:highlight w:val="none"/>
        </w:rPr>
        <w:t>上发布成交结果公告。</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2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中约定进行公告的内容。</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2</w:t>
      </w:r>
      <w:r>
        <w:rPr>
          <w:rFonts w:hint="eastAsia" w:ascii="宋体" w:hAnsi="宋体" w:eastAsia="宋体"/>
          <w:b/>
          <w:sz w:val="24"/>
          <w:highlight w:val="none"/>
        </w:rPr>
        <w:t>8</w:t>
      </w:r>
      <w:r>
        <w:rPr>
          <w:rFonts w:ascii="宋体" w:hAnsi="宋体" w:eastAsia="宋体"/>
          <w:b/>
          <w:sz w:val="24"/>
          <w:highlight w:val="none"/>
        </w:rPr>
        <w:t>.成交</w:t>
      </w:r>
      <w:r>
        <w:rPr>
          <w:rFonts w:asciiTheme="minorEastAsia" w:hAnsiTheme="minorEastAsia" w:eastAsiaTheme="minorEastAsia"/>
          <w:b/>
          <w:sz w:val="24"/>
          <w:highlight w:val="none"/>
        </w:rPr>
        <w:t>通知书</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.1采购代理机构发布成交结果公告的同时</w:t>
      </w:r>
      <w:r>
        <w:rPr>
          <w:rFonts w:asciiTheme="minorEastAsia" w:hAnsiTheme="minorEastAsia" w:eastAsiaTheme="minorEastAsia"/>
          <w:sz w:val="24"/>
          <w:highlight w:val="none"/>
        </w:rPr>
        <w:t>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w:t>
      </w:r>
      <w:r>
        <w:rPr>
          <w:rFonts w:asciiTheme="minorEastAsia" w:hAnsiTheme="minorEastAsia" w:eastAsiaTheme="minorEastAsia"/>
          <w:sz w:val="24"/>
          <w:highlight w:val="none"/>
        </w:rPr>
        <w:t>形式</w:t>
      </w:r>
      <w:r>
        <w:rPr>
          <w:rFonts w:ascii="宋体" w:hAnsi="宋体" w:eastAsia="宋体"/>
          <w:sz w:val="24"/>
          <w:highlight w:val="none"/>
        </w:rPr>
        <w:t>向成交供应商发出成交通知书。</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.3成交通知书是合同的组成部分。</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29</w:t>
      </w:r>
      <w:r>
        <w:rPr>
          <w:rFonts w:ascii="宋体" w:hAnsi="宋体" w:eastAsia="宋体"/>
          <w:b/>
          <w:sz w:val="24"/>
          <w:highlight w:val="none"/>
        </w:rPr>
        <w:t>.告知</w:t>
      </w:r>
      <w:r>
        <w:rPr>
          <w:rFonts w:hint="eastAsia" w:ascii="宋体" w:hAnsi="宋体" w:eastAsia="宋体"/>
          <w:b/>
          <w:sz w:val="24"/>
          <w:highlight w:val="none"/>
        </w:rPr>
        <w:t>磋商</w:t>
      </w:r>
      <w:r>
        <w:rPr>
          <w:rFonts w:ascii="宋体" w:hAnsi="宋体" w:eastAsia="宋体"/>
          <w:b/>
          <w:sz w:val="24"/>
          <w:highlight w:val="none"/>
        </w:rPr>
        <w:t>结果</w:t>
      </w:r>
    </w:p>
    <w:p>
      <w:pPr>
        <w:spacing w:line="360" w:lineRule="auto"/>
        <w:ind w:firstLine="435"/>
        <w:rPr>
          <w:rFonts w:ascii="宋体" w:hAnsi="宋体" w:eastAsia="宋体"/>
          <w:sz w:val="24"/>
          <w:highlight w:val="none"/>
        </w:rPr>
      </w:pPr>
      <w:r>
        <w:rPr>
          <w:rFonts w:hint="eastAsia" w:ascii="宋体" w:hAnsi="宋体" w:eastAsia="宋体"/>
          <w:sz w:val="24"/>
          <w:highlight w:val="none"/>
        </w:rPr>
        <w:t>29</w:t>
      </w:r>
      <w:r>
        <w:rPr>
          <w:rFonts w:ascii="宋体" w:hAnsi="宋体" w:eastAsia="宋体"/>
          <w:sz w:val="24"/>
          <w:highlight w:val="none"/>
        </w:rPr>
        <w:t>.1在公告</w:t>
      </w:r>
      <w:r>
        <w:rPr>
          <w:rFonts w:hint="eastAsia" w:ascii="宋体" w:hAnsi="宋体" w:eastAsia="宋体"/>
          <w:sz w:val="24"/>
          <w:highlight w:val="none"/>
        </w:rPr>
        <w:t>成交</w:t>
      </w:r>
      <w:r>
        <w:rPr>
          <w:rFonts w:ascii="宋体" w:hAnsi="宋体" w:eastAsia="宋体"/>
          <w:sz w:val="24"/>
          <w:highlight w:val="none"/>
        </w:rPr>
        <w:t>结果的同时，采购代理机构同时以</w:t>
      </w:r>
      <w:r>
        <w:rPr>
          <w:rFonts w:hint="eastAsia" w:ascii="宋体" w:hAnsi="宋体" w:eastAsia="宋体"/>
          <w:sz w:val="24"/>
          <w:highlight w:val="none"/>
          <w:u w:val="single"/>
        </w:rPr>
        <w:t>供应商</w:t>
      </w:r>
      <w:r>
        <w:rPr>
          <w:rFonts w:ascii="宋体" w:hAnsi="宋体" w:eastAsia="宋体"/>
          <w:sz w:val="24"/>
          <w:highlight w:val="none"/>
          <w:u w:val="single"/>
        </w:rPr>
        <w:t>须知前附表</w:t>
      </w:r>
      <w:r>
        <w:rPr>
          <w:rFonts w:ascii="宋体" w:hAnsi="宋体" w:eastAsia="宋体"/>
          <w:sz w:val="24"/>
          <w:highlight w:val="none"/>
        </w:rPr>
        <w:t>规定的形式告知未</w:t>
      </w:r>
      <w:r>
        <w:rPr>
          <w:rFonts w:hint="eastAsia" w:ascii="宋体" w:hAnsi="宋体" w:eastAsia="宋体"/>
          <w:sz w:val="24"/>
          <w:highlight w:val="none"/>
        </w:rPr>
        <w:t>成交供应商</w:t>
      </w:r>
      <w:r>
        <w:rPr>
          <w:rFonts w:ascii="宋体" w:hAnsi="宋体" w:eastAsia="宋体"/>
          <w:sz w:val="24"/>
          <w:highlight w:val="none"/>
        </w:rPr>
        <w:t>本人的评审得分和排序。</w:t>
      </w:r>
    </w:p>
    <w:p>
      <w:pPr>
        <w:spacing w:line="360" w:lineRule="auto"/>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9</w:t>
      </w:r>
      <w:r>
        <w:rPr>
          <w:rFonts w:ascii="宋体" w:hAnsi="宋体" w:eastAsia="宋体"/>
          <w:sz w:val="24"/>
          <w:highlight w:val="none"/>
        </w:rPr>
        <w:t>.</w:t>
      </w:r>
      <w:r>
        <w:rPr>
          <w:rFonts w:hint="eastAsia" w:ascii="宋体" w:hAnsi="宋体" w:eastAsia="宋体"/>
          <w:sz w:val="24"/>
          <w:highlight w:val="none"/>
        </w:rPr>
        <w:t>2</w:t>
      </w:r>
      <w:r>
        <w:rPr>
          <w:rFonts w:ascii="宋体" w:hAnsi="宋体" w:eastAsia="宋体"/>
          <w:sz w:val="24"/>
          <w:highlight w:val="none"/>
        </w:rPr>
        <w:t>采购代理机构对未成交的供应商不做未成交原因的解释。</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30</w:t>
      </w:r>
      <w:r>
        <w:rPr>
          <w:rFonts w:ascii="宋体" w:hAnsi="宋体" w:eastAsia="宋体"/>
          <w:b/>
          <w:sz w:val="24"/>
          <w:highlight w:val="none"/>
        </w:rPr>
        <w:t>.履约保证金</w:t>
      </w:r>
    </w:p>
    <w:p>
      <w:pPr>
        <w:spacing w:line="360" w:lineRule="auto"/>
        <w:ind w:firstLine="435"/>
        <w:rPr>
          <w:rFonts w:ascii="宋体" w:hAnsi="宋体" w:eastAsia="宋体"/>
          <w:sz w:val="24"/>
          <w:highlight w:val="none"/>
        </w:rPr>
      </w:pPr>
      <w:r>
        <w:rPr>
          <w:rFonts w:hint="eastAsia" w:ascii="宋体" w:hAnsi="宋体" w:eastAsia="宋体"/>
          <w:sz w:val="24"/>
          <w:highlight w:val="none"/>
        </w:rPr>
        <w:t>30</w:t>
      </w:r>
      <w:r>
        <w:rPr>
          <w:rFonts w:ascii="宋体" w:hAnsi="宋体" w:eastAsia="宋体"/>
          <w:sz w:val="24"/>
          <w:highlight w:val="none"/>
        </w:rPr>
        <w:t>.1成交供应商应按照</w:t>
      </w:r>
      <w:r>
        <w:rPr>
          <w:rFonts w:ascii="宋体" w:hAnsi="宋体" w:eastAsia="宋体"/>
          <w:sz w:val="24"/>
          <w:highlight w:val="none"/>
          <w:u w:val="single"/>
        </w:rPr>
        <w:t>供应商须知前附表</w:t>
      </w:r>
      <w:r>
        <w:rPr>
          <w:rFonts w:ascii="宋体" w:hAnsi="宋体" w:eastAsia="宋体"/>
          <w:sz w:val="24"/>
          <w:highlight w:val="none"/>
        </w:rPr>
        <w:t>规定</w:t>
      </w:r>
      <w:r>
        <w:rPr>
          <w:rFonts w:hint="eastAsia" w:ascii="宋体" w:hAnsi="宋体" w:eastAsia="宋体"/>
          <w:sz w:val="24"/>
          <w:highlight w:val="none"/>
        </w:rPr>
        <w:t>缴纳</w:t>
      </w:r>
      <w:r>
        <w:rPr>
          <w:rFonts w:ascii="宋体" w:hAnsi="宋体" w:eastAsia="宋体"/>
          <w:sz w:val="24"/>
          <w:highlight w:val="none"/>
        </w:rPr>
        <w:t>履约保证金。</w:t>
      </w:r>
    </w:p>
    <w:p>
      <w:pPr>
        <w:spacing w:line="360" w:lineRule="auto"/>
        <w:ind w:firstLine="435"/>
        <w:rPr>
          <w:rFonts w:ascii="宋体" w:hAnsi="宋体" w:eastAsia="宋体"/>
          <w:sz w:val="24"/>
          <w:highlight w:val="none"/>
        </w:rPr>
      </w:pPr>
      <w:r>
        <w:rPr>
          <w:rFonts w:hint="eastAsia" w:ascii="宋体" w:hAnsi="宋体" w:eastAsia="宋体"/>
          <w:sz w:val="24"/>
          <w:highlight w:val="none"/>
        </w:rPr>
        <w:t>30</w:t>
      </w:r>
      <w:r>
        <w:rPr>
          <w:rFonts w:ascii="宋体" w:hAnsi="宋体" w:eastAsia="宋体"/>
          <w:sz w:val="24"/>
          <w:highlight w:val="none"/>
        </w:rPr>
        <w:t>.2如果成交供应商没有按照上述履约保证金的规定执行，将视为放弃成交资格。在此情况下，采购人可确定下一成交候选供应商为成交供应商，也可以重新开展采购活动。</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31</w:t>
      </w:r>
      <w:r>
        <w:rPr>
          <w:rFonts w:ascii="宋体" w:hAnsi="宋体" w:eastAsia="宋体"/>
          <w:b/>
          <w:sz w:val="24"/>
          <w:highlight w:val="none"/>
        </w:rPr>
        <w:t>.</w:t>
      </w:r>
      <w:r>
        <w:rPr>
          <w:rFonts w:hint="eastAsia" w:ascii="宋体" w:hAnsi="宋体" w:eastAsia="宋体"/>
          <w:b/>
          <w:sz w:val="24"/>
          <w:highlight w:val="none"/>
        </w:rPr>
        <w:t>成交</w:t>
      </w:r>
      <w:r>
        <w:rPr>
          <w:rFonts w:ascii="宋体" w:hAnsi="宋体" w:eastAsia="宋体"/>
          <w:b/>
          <w:sz w:val="24"/>
          <w:highlight w:val="none"/>
        </w:rPr>
        <w:t>服务费</w:t>
      </w:r>
    </w:p>
    <w:p>
      <w:pPr>
        <w:spacing w:line="360" w:lineRule="auto"/>
        <w:ind w:firstLine="435"/>
        <w:rPr>
          <w:rFonts w:ascii="宋体" w:hAnsi="宋体" w:eastAsia="宋体"/>
          <w:sz w:val="24"/>
          <w:highlight w:val="none"/>
        </w:rPr>
      </w:pPr>
      <w:r>
        <w:rPr>
          <w:rFonts w:hint="eastAsia" w:ascii="宋体" w:hAnsi="宋体" w:eastAsia="宋体"/>
          <w:sz w:val="24"/>
          <w:highlight w:val="none"/>
        </w:rPr>
        <w:t>31</w:t>
      </w:r>
      <w:r>
        <w:rPr>
          <w:rFonts w:ascii="宋体" w:hAnsi="宋体" w:eastAsia="宋体"/>
          <w:sz w:val="24"/>
          <w:highlight w:val="none"/>
        </w:rPr>
        <w:t>.1本项目</w:t>
      </w:r>
      <w:r>
        <w:rPr>
          <w:rFonts w:hint="eastAsia" w:ascii="宋体" w:hAnsi="宋体" w:eastAsia="宋体"/>
          <w:sz w:val="24"/>
          <w:highlight w:val="none"/>
        </w:rPr>
        <w:t>成交</w:t>
      </w:r>
      <w:r>
        <w:rPr>
          <w:rFonts w:ascii="宋体" w:hAnsi="宋体" w:eastAsia="宋体"/>
          <w:sz w:val="24"/>
          <w:highlight w:val="none"/>
        </w:rPr>
        <w:t>服务费的收取按</w:t>
      </w:r>
      <w:r>
        <w:rPr>
          <w:rFonts w:hint="eastAsia" w:ascii="宋体" w:hAnsi="宋体" w:eastAsia="宋体"/>
          <w:sz w:val="24"/>
          <w:highlight w:val="none"/>
          <w:u w:val="single"/>
        </w:rPr>
        <w:t>供应商</w:t>
      </w:r>
      <w:r>
        <w:rPr>
          <w:rFonts w:ascii="宋体" w:hAnsi="宋体" w:eastAsia="宋体"/>
          <w:sz w:val="24"/>
          <w:highlight w:val="none"/>
          <w:u w:val="single"/>
        </w:rPr>
        <w:t>须知前附表</w:t>
      </w:r>
      <w:r>
        <w:rPr>
          <w:rFonts w:ascii="宋体" w:hAnsi="宋体" w:eastAsia="宋体"/>
          <w:sz w:val="24"/>
          <w:highlight w:val="none"/>
        </w:rPr>
        <w:t>的规定执行。</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32</w:t>
      </w:r>
      <w:r>
        <w:rPr>
          <w:rFonts w:ascii="宋体" w:hAnsi="宋体" w:eastAsia="宋体"/>
          <w:b/>
          <w:sz w:val="24"/>
          <w:highlight w:val="none"/>
        </w:rPr>
        <w:t>.签订</w:t>
      </w:r>
      <w:r>
        <w:rPr>
          <w:rFonts w:asciiTheme="minorEastAsia" w:hAnsiTheme="minorEastAsia" w:eastAsiaTheme="minorEastAsia"/>
          <w:b/>
          <w:sz w:val="24"/>
          <w:highlight w:val="none"/>
        </w:rPr>
        <w:t>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.1</w:t>
      </w:r>
      <w:r>
        <w:rPr>
          <w:rFonts w:hint="eastAsia" w:ascii="宋体" w:hAnsi="宋体" w:eastAsia="宋体"/>
          <w:sz w:val="24"/>
          <w:highlight w:val="none"/>
        </w:rPr>
        <w:t>采购人与</w:t>
      </w:r>
      <w:r>
        <w:rPr>
          <w:rFonts w:ascii="宋体" w:hAnsi="宋体" w:eastAsia="宋体"/>
          <w:sz w:val="24"/>
          <w:highlight w:val="none"/>
        </w:rPr>
        <w:t>成交供应商应当自发出成交通知书之日起30日内签订合同。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.2磋商文件、成交供应商的响应文件及其澄清文件等，均为签订合同的依据。</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.3成交供应商拒绝与采购人签订合同的，采购人可以按照评审报告推荐的成交候选供应商名单排序，确定下一成交候选供应商为成交供应商，也可以重新开展采购活动。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highlight w:val="none"/>
        </w:rPr>
        <w:t>成交供应商拒绝签订政府采购合同的不得参加对该项目重新开展的采购活动。</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4</w:t>
      </w:r>
      <w:r>
        <w:rPr>
          <w:rFonts w:hint="eastAsia" w:ascii="宋体" w:hAnsi="宋体" w:eastAsia="宋体"/>
          <w:sz w:val="24"/>
          <w:highlight w:val="none"/>
        </w:rPr>
        <w:t>依据《政府采购促进中小企业发展管理办法》（财库〔</w:t>
      </w:r>
      <w:r>
        <w:rPr>
          <w:rFonts w:ascii="宋体" w:hAnsi="宋体" w:eastAsia="宋体"/>
          <w:sz w:val="24"/>
          <w:highlight w:val="none"/>
        </w:rPr>
        <w:t>2020〕46号</w:t>
      </w:r>
      <w:r>
        <w:rPr>
          <w:rFonts w:hint="eastAsia" w:ascii="宋体" w:hAnsi="宋体" w:eastAsia="宋体"/>
          <w:sz w:val="24"/>
          <w:highlight w:val="none"/>
        </w:rPr>
        <w:t>）规定享受扶持政策获得政府采购合同的，小微企业不得将合同分包给大中型企业，中型企业不得将合同分包给大型企业。</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3</w:t>
      </w:r>
      <w:r>
        <w:rPr>
          <w:rFonts w:ascii="宋体" w:hAnsi="宋体" w:eastAsia="宋体"/>
          <w:b/>
          <w:sz w:val="24"/>
          <w:highlight w:val="none"/>
        </w:rPr>
        <w:t>.廉洁</w:t>
      </w:r>
      <w:r>
        <w:rPr>
          <w:rFonts w:asciiTheme="minorEastAsia" w:hAnsiTheme="minorEastAsia" w:eastAsiaTheme="minorEastAsia"/>
          <w:b/>
          <w:sz w:val="24"/>
          <w:highlight w:val="none"/>
        </w:rPr>
        <w:t>自律</w:t>
      </w:r>
      <w:r>
        <w:rPr>
          <w:rFonts w:ascii="宋体" w:hAnsi="宋体" w:eastAsia="宋体"/>
          <w:b/>
          <w:sz w:val="24"/>
          <w:highlight w:val="none"/>
        </w:rPr>
        <w:t>规定</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3</w:t>
      </w:r>
      <w:r>
        <w:rPr>
          <w:rFonts w:ascii="宋体" w:hAnsi="宋体" w:eastAsia="宋体"/>
          <w:sz w:val="24"/>
          <w:highlight w:val="none"/>
        </w:rPr>
        <w:t>.1采购代理机构工作人员不得以不正当手段获取政府采购代理业务，不得与采购人、供应商恶意串通。</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3</w:t>
      </w:r>
      <w:r>
        <w:rPr>
          <w:rFonts w:ascii="宋体" w:hAnsi="宋体" w:eastAsia="宋体"/>
          <w:sz w:val="24"/>
          <w:highlight w:val="none"/>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4</w:t>
      </w:r>
      <w:r>
        <w:rPr>
          <w:rFonts w:ascii="宋体" w:hAnsi="宋体" w:eastAsia="宋体"/>
          <w:b/>
          <w:sz w:val="24"/>
          <w:highlight w:val="none"/>
        </w:rPr>
        <w:t>.质疑的</w:t>
      </w:r>
      <w:r>
        <w:rPr>
          <w:rFonts w:asciiTheme="minorEastAsia" w:hAnsiTheme="minorEastAsia" w:eastAsiaTheme="minorEastAsia"/>
          <w:b/>
          <w:sz w:val="24"/>
          <w:highlight w:val="none"/>
        </w:rPr>
        <w:t>提出</w:t>
      </w:r>
      <w:r>
        <w:rPr>
          <w:rFonts w:ascii="宋体" w:hAnsi="宋体" w:eastAsia="宋体"/>
          <w:b/>
          <w:sz w:val="24"/>
          <w:highlight w:val="none"/>
        </w:rPr>
        <w:t>与接收</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.2质疑供应商应按照财政部制定的《政府采购质疑函范本》格式（详见磋商文件第</w:t>
      </w:r>
      <w:r>
        <w:rPr>
          <w:rFonts w:hint="eastAsia" w:ascii="宋体" w:hAnsi="宋体" w:eastAsia="宋体"/>
          <w:sz w:val="24"/>
          <w:highlight w:val="none"/>
          <w:lang w:val="en-US" w:eastAsia="zh-CN"/>
        </w:rPr>
        <w:t>七</w:t>
      </w:r>
      <w:r>
        <w:rPr>
          <w:rFonts w:ascii="宋体" w:hAnsi="宋体" w:eastAsia="宋体"/>
          <w:sz w:val="24"/>
          <w:highlight w:val="none"/>
        </w:rPr>
        <w:t>章）和《政府采购质疑和投诉办法》的要求，在法定质疑期内以</w:t>
      </w:r>
      <w:r>
        <w:rPr>
          <w:rFonts w:hint="eastAsia" w:ascii="宋体" w:hAnsi="宋体" w:eastAsia="宋体"/>
          <w:sz w:val="24"/>
          <w:highlight w:val="none"/>
        </w:rPr>
        <w:t>书面</w:t>
      </w:r>
      <w:r>
        <w:rPr>
          <w:rFonts w:ascii="宋体" w:hAnsi="宋体" w:eastAsia="宋体"/>
          <w:sz w:val="24"/>
          <w:highlight w:val="none"/>
        </w:rPr>
        <w:t>形式提出质疑，</w:t>
      </w:r>
      <w:r>
        <w:rPr>
          <w:rFonts w:hint="eastAsia" w:asciiTheme="minorEastAsia" w:hAnsiTheme="minorEastAsia" w:eastAsiaTheme="minorEastAsia"/>
          <w:sz w:val="24"/>
          <w:highlight w:val="none"/>
        </w:rPr>
        <w:t>超出法定质疑期提交的质疑将被拒绝。</w:t>
      </w:r>
      <w:r>
        <w:rPr>
          <w:rFonts w:ascii="宋体" w:hAnsi="宋体" w:eastAsia="宋体"/>
          <w:sz w:val="24"/>
          <w:highlight w:val="none"/>
        </w:rPr>
        <w:t>针对同一采购程序环节的质疑应一次性提出。</w:t>
      </w:r>
    </w:p>
    <w:p>
      <w:pPr>
        <w:spacing w:line="360" w:lineRule="auto"/>
        <w:ind w:firstLine="435"/>
        <w:rPr>
          <w:rFonts w:ascii="宋体" w:hAnsi="宋体" w:eastAsia="宋体"/>
          <w:sz w:val="24"/>
          <w:highlight w:val="none"/>
        </w:rPr>
      </w:pPr>
      <w:r>
        <w:rPr>
          <w:rFonts w:hint="eastAsia" w:ascii="宋体" w:hAnsi="宋体" w:eastAsia="宋体"/>
          <w:sz w:val="24"/>
          <w:highlight w:val="none"/>
        </w:rPr>
        <w:t>超出法定质疑期的、重复提出的、分次提出的或内容、形式不符合《政府采购质疑和投诉办法》的，质疑供应商将依法承担不利后果。</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.3</w:t>
      </w:r>
      <w:r>
        <w:rPr>
          <w:rFonts w:hint="eastAsia" w:ascii="宋体" w:hAnsi="宋体" w:eastAsia="宋体"/>
          <w:sz w:val="24"/>
          <w:highlight w:val="none"/>
        </w:rPr>
        <w:t>采购代理机构质疑函接收部门、联系电话和通讯地址</w:t>
      </w:r>
      <w:r>
        <w:rPr>
          <w:rFonts w:ascii="宋体" w:hAnsi="宋体" w:eastAsia="宋体"/>
          <w:sz w:val="24"/>
          <w:highlight w:val="none"/>
        </w:rPr>
        <w:t>，见</w:t>
      </w:r>
      <w:r>
        <w:rPr>
          <w:rFonts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5</w:t>
      </w:r>
      <w:r>
        <w:rPr>
          <w:rFonts w:ascii="宋体" w:hAnsi="宋体" w:eastAsia="宋体"/>
          <w:b/>
          <w:sz w:val="24"/>
          <w:highlight w:val="none"/>
        </w:rPr>
        <w:t>.需要</w:t>
      </w:r>
      <w:r>
        <w:rPr>
          <w:rFonts w:asciiTheme="minorEastAsia" w:hAnsiTheme="minorEastAsia" w:eastAsiaTheme="minorEastAsia"/>
          <w:b/>
          <w:sz w:val="24"/>
          <w:highlight w:val="none"/>
        </w:rPr>
        <w:t>补充</w:t>
      </w:r>
      <w:r>
        <w:rPr>
          <w:rFonts w:ascii="宋体" w:hAnsi="宋体" w:eastAsia="宋体"/>
          <w:b/>
          <w:sz w:val="24"/>
          <w:highlight w:val="none"/>
        </w:rPr>
        <w:t>的其他内容</w:t>
      </w:r>
    </w:p>
    <w:p>
      <w:pPr>
        <w:spacing w:line="360" w:lineRule="auto"/>
        <w:ind w:firstLine="435"/>
        <w:rPr>
          <w:rFonts w:ascii="宋体" w:hAnsi="宋体" w:eastAsia="宋体"/>
          <w:sz w:val="24"/>
          <w:highlight w:val="none"/>
        </w:rPr>
      </w:pPr>
      <w:r>
        <w:rPr>
          <w:rFonts w:hint="eastAsia" w:ascii="宋体" w:hAnsi="宋体" w:eastAsia="宋体"/>
          <w:sz w:val="24"/>
          <w:highlight w:val="none"/>
        </w:rPr>
        <w:t>需要补充的其他内容，见</w:t>
      </w:r>
      <w:r>
        <w:rPr>
          <w:rFonts w:hint="eastAsia" w:ascii="宋体" w:hAnsi="宋体" w:eastAsia="宋体"/>
          <w:sz w:val="24"/>
          <w:highlight w:val="none"/>
          <w:u w:val="single"/>
        </w:rPr>
        <w:t>供应商须知前附表</w:t>
      </w:r>
      <w:r>
        <w:rPr>
          <w:rFonts w:hint="eastAsia" w:ascii="宋体" w:hAnsi="宋体" w:eastAsia="宋体"/>
          <w:sz w:val="24"/>
          <w:highlight w:val="none"/>
        </w:rPr>
        <w:t>。</w:t>
      </w:r>
    </w:p>
    <w:p>
      <w:pPr>
        <w:widowControl/>
        <w:jc w:val="left"/>
        <w:rPr>
          <w:rFonts w:asciiTheme="minorEastAsia" w:hAnsiTheme="minorEastAsia" w:eastAsiaTheme="minorEastAsia"/>
          <w:b/>
          <w:sz w:val="28"/>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4" w:name="_Toc26638972"/>
      <w:r>
        <w:rPr>
          <w:rFonts w:hint="eastAsia" w:asciiTheme="minorEastAsia" w:hAnsiTheme="minorEastAsia" w:eastAsiaTheme="minorEastAsia"/>
          <w:b/>
          <w:sz w:val="28"/>
          <w:highlight w:val="none"/>
        </w:rPr>
        <w:t>第三章  采购需求</w:t>
      </w:r>
      <w:bookmarkEnd w:id="4"/>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前注：</w:t>
      </w:r>
    </w:p>
    <w:p>
      <w:pPr>
        <w:spacing w:line="360" w:lineRule="auto"/>
        <w:ind w:firstLine="482" w:firstLineChars="200"/>
        <w:rPr>
          <w:rFonts w:hint="default" w:ascii="宋体" w:hAnsi="宋体" w:eastAsia="宋体"/>
          <w:b/>
          <w:bCs/>
          <w:color w:val="FF0000"/>
          <w:sz w:val="24"/>
          <w:szCs w:val="18"/>
          <w:highlight w:val="none"/>
          <w:lang w:val="en-US" w:eastAsia="zh-CN"/>
        </w:rPr>
      </w:pPr>
      <w:r>
        <w:rPr>
          <w:rFonts w:hint="eastAsia" w:ascii="宋体" w:hAnsi="宋体" w:eastAsia="宋体"/>
          <w:b/>
          <w:bCs/>
          <w:color w:val="FF0000"/>
          <w:sz w:val="24"/>
          <w:szCs w:val="18"/>
          <w:highlight w:val="none"/>
          <w:lang w:val="en-US" w:eastAsia="zh-CN"/>
        </w:rPr>
        <w:t>下列货物需求“型号及技术参数要求”中参数须满足或优于磋商文件要求，否则响应无效。</w:t>
      </w:r>
    </w:p>
    <w:p>
      <w:pPr>
        <w:spacing w:line="360" w:lineRule="auto"/>
        <w:ind w:firstLine="437"/>
        <w:rPr>
          <w:rFonts w:ascii="宋体" w:hAnsi="宋体" w:eastAsia="宋体"/>
          <w:b/>
          <w:sz w:val="24"/>
          <w:szCs w:val="18"/>
          <w:highlight w:val="none"/>
        </w:rPr>
      </w:pPr>
      <w:r>
        <w:rPr>
          <w:rFonts w:hint="eastAsia" w:ascii="宋体" w:hAnsi="宋体" w:eastAsia="宋体"/>
          <w:b/>
          <w:sz w:val="24"/>
          <w:szCs w:val="18"/>
          <w:highlight w:val="none"/>
        </w:rPr>
        <w:t>一、采购需求前附表</w:t>
      </w:r>
    </w:p>
    <w:tbl>
      <w:tblPr>
        <w:tblStyle w:val="26"/>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642"/>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642" w:type="dxa"/>
            <w:vAlign w:val="center"/>
          </w:tcPr>
          <w:p>
            <w:pPr>
              <w:pStyle w:val="34"/>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5913" w:type="dxa"/>
            <w:vAlign w:val="center"/>
          </w:tcPr>
          <w:p>
            <w:pPr>
              <w:pStyle w:val="34"/>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rPr>
              <w:t>付款方式</w:t>
            </w:r>
          </w:p>
        </w:tc>
        <w:tc>
          <w:tcPr>
            <w:tcW w:w="5913" w:type="dxa"/>
            <w:vAlign w:val="center"/>
          </w:tcPr>
          <w:p>
            <w:pPr>
              <w:pStyle w:val="34"/>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lang w:val="en-US" w:eastAsia="zh-CN"/>
              </w:rPr>
              <w:t>供货安装完毕且经采购人验收合格后一次性付清。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供货及安装地点</w:t>
            </w:r>
          </w:p>
        </w:tc>
        <w:tc>
          <w:tcPr>
            <w:tcW w:w="5913" w:type="dxa"/>
            <w:vAlign w:val="center"/>
          </w:tcPr>
          <w:p>
            <w:pPr>
              <w:pStyle w:val="34"/>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u w:val="none"/>
                <w:lang w:eastAsia="zh-CN"/>
              </w:rPr>
              <w:t>巢湖市金盾机动车驾驶员培训学校有限公司，</w:t>
            </w:r>
            <w:r>
              <w:rPr>
                <w:rFonts w:hint="eastAsia" w:ascii="宋体" w:hAnsi="宋体" w:eastAsia="宋体"/>
                <w:b w:val="0"/>
                <w:sz w:val="24"/>
                <w:highlight w:val="none"/>
                <w:u w:val="none"/>
                <w:lang w:val="en-US" w:eastAsia="zh-CN"/>
              </w:rPr>
              <w:t>采购人指定地点</w:t>
            </w:r>
            <w:r>
              <w:rPr>
                <w:rFonts w:hint="eastAsia" w:ascii="宋体" w:hAnsi="宋体" w:eastAsia="宋体"/>
                <w:b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供货及安装期限</w:t>
            </w:r>
          </w:p>
        </w:tc>
        <w:tc>
          <w:tcPr>
            <w:tcW w:w="5913" w:type="dxa"/>
            <w:vAlign w:val="center"/>
          </w:tcPr>
          <w:p>
            <w:pPr>
              <w:pStyle w:val="34"/>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rPr>
              <w:t>自合同签订之日起</w:t>
            </w:r>
            <w:r>
              <w:rPr>
                <w:rFonts w:hint="eastAsia" w:ascii="宋体" w:hAnsi="宋体" w:eastAsia="宋体"/>
                <w:b w:val="0"/>
                <w:sz w:val="24"/>
                <w:highlight w:val="none"/>
                <w:lang w:eastAsia="zh-CN"/>
              </w:rPr>
              <w:t>15个日历天</w:t>
            </w:r>
            <w:r>
              <w:rPr>
                <w:rFonts w:hint="eastAsia" w:ascii="宋体" w:hAnsi="宋体" w:eastAsia="宋体"/>
                <w:b w:val="0"/>
                <w:sz w:val="24"/>
                <w:highlight w:val="none"/>
              </w:rPr>
              <w:t>内完成供货及安装。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642" w:type="dxa"/>
            <w:vAlign w:val="center"/>
          </w:tcPr>
          <w:p>
            <w:pPr>
              <w:pStyle w:val="34"/>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免费质保期</w:t>
            </w:r>
          </w:p>
        </w:tc>
        <w:tc>
          <w:tcPr>
            <w:tcW w:w="5913" w:type="dxa"/>
            <w:vAlign w:val="center"/>
          </w:tcPr>
          <w:p>
            <w:pPr>
              <w:pStyle w:val="34"/>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安装完毕且经采购人</w:t>
            </w:r>
            <w:r>
              <w:rPr>
                <w:rFonts w:hint="eastAsia" w:ascii="宋体" w:hAnsi="宋体" w:eastAsia="宋体"/>
                <w:b w:val="0"/>
                <w:sz w:val="24"/>
                <w:highlight w:val="none"/>
              </w:rPr>
              <w:t>验收合格</w:t>
            </w:r>
            <w:r>
              <w:rPr>
                <w:rFonts w:hint="eastAsia" w:ascii="宋体" w:hAnsi="宋体" w:eastAsia="宋体"/>
                <w:b w:val="0"/>
                <w:sz w:val="24"/>
                <w:highlight w:val="none"/>
                <w:u w:val="none"/>
                <w:lang w:val="en-US" w:eastAsia="zh-CN"/>
              </w:rPr>
              <w:t>之日</w:t>
            </w:r>
            <w:r>
              <w:rPr>
                <w:rFonts w:hint="eastAsia" w:ascii="宋体" w:hAnsi="宋体" w:eastAsia="宋体"/>
                <w:b w:val="0"/>
                <w:sz w:val="24"/>
                <w:highlight w:val="none"/>
                <w:u w:val="none"/>
              </w:rPr>
              <w:t>起</w:t>
            </w:r>
            <w:r>
              <w:rPr>
                <w:rFonts w:hint="eastAsia" w:ascii="宋体" w:hAnsi="宋体" w:eastAsia="宋体"/>
                <w:b w:val="0"/>
                <w:sz w:val="24"/>
                <w:highlight w:val="none"/>
                <w:u w:val="none"/>
                <w:lang w:val="en-US" w:eastAsia="zh-CN"/>
              </w:rPr>
              <w:t>一年。</w:t>
            </w:r>
          </w:p>
        </w:tc>
      </w:tr>
    </w:tbl>
    <w:p>
      <w:pPr>
        <w:spacing w:line="360" w:lineRule="auto"/>
        <w:ind w:firstLine="437"/>
        <w:rPr>
          <w:rFonts w:ascii="宋体" w:hAnsi="宋体" w:eastAsia="宋体"/>
          <w:b/>
          <w:bCs/>
          <w:sz w:val="24"/>
          <w:szCs w:val="18"/>
          <w:highlight w:val="none"/>
        </w:rPr>
      </w:pPr>
      <w:r>
        <w:rPr>
          <w:rFonts w:hint="eastAsia" w:ascii="宋体" w:hAnsi="宋体" w:eastAsia="宋体"/>
          <w:b/>
          <w:bCs/>
          <w:sz w:val="24"/>
          <w:szCs w:val="18"/>
          <w:highlight w:val="none"/>
        </w:rPr>
        <w:t>二、货物需求</w:t>
      </w:r>
    </w:p>
    <w:tbl>
      <w:tblPr>
        <w:tblStyle w:val="26"/>
        <w:tblW w:w="56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467"/>
        <w:gridCol w:w="4933"/>
        <w:gridCol w:w="779"/>
        <w:gridCol w:w="74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7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序号</w:t>
            </w:r>
          </w:p>
        </w:tc>
        <w:tc>
          <w:tcPr>
            <w:tcW w:w="768" w:type="pct"/>
            <w:vAlign w:val="center"/>
          </w:tcPr>
          <w:p>
            <w:pPr>
              <w:spacing w:line="240" w:lineRule="auto"/>
              <w:jc w:val="center"/>
              <w:rPr>
                <w:rFonts w:hint="eastAsia" w:asciiTheme="minorEastAsia" w:hAnsiTheme="minorEastAsia" w:eastAsiaTheme="minorEastAsia"/>
                <w:b/>
                <w:bCs/>
                <w:sz w:val="24"/>
                <w:szCs w:val="18"/>
              </w:rPr>
            </w:pPr>
            <w:r>
              <w:rPr>
                <w:rFonts w:hint="eastAsia" w:asciiTheme="minorEastAsia" w:hAnsiTheme="minorEastAsia" w:eastAsiaTheme="minorEastAsia"/>
                <w:b/>
                <w:bCs/>
                <w:sz w:val="24"/>
                <w:szCs w:val="18"/>
              </w:rPr>
              <w:t>货物</w:t>
            </w:r>
          </w:p>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名称</w:t>
            </w:r>
          </w:p>
        </w:tc>
        <w:tc>
          <w:tcPr>
            <w:tcW w:w="2584"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技术参数及要求</w:t>
            </w:r>
          </w:p>
        </w:tc>
        <w:tc>
          <w:tcPr>
            <w:tcW w:w="408"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单位</w:t>
            </w:r>
          </w:p>
        </w:tc>
        <w:tc>
          <w:tcPr>
            <w:tcW w:w="388"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数量</w:t>
            </w:r>
          </w:p>
        </w:tc>
        <w:tc>
          <w:tcPr>
            <w:tcW w:w="574" w:type="pct"/>
            <w:vAlign w:val="center"/>
          </w:tcPr>
          <w:p>
            <w:pPr>
              <w:spacing w:line="240" w:lineRule="auto"/>
              <w:jc w:val="center"/>
              <w:rPr>
                <w:rFonts w:hint="eastAsia" w:asciiTheme="minorEastAsia" w:hAnsiTheme="minorEastAsia" w:eastAsiaTheme="minorEastAsia"/>
                <w:b/>
                <w:bCs/>
                <w:sz w:val="24"/>
                <w:szCs w:val="18"/>
                <w:lang w:val="en-US" w:eastAsia="zh-CN"/>
              </w:rPr>
            </w:pPr>
            <w:r>
              <w:rPr>
                <w:rFonts w:hint="eastAsia" w:asciiTheme="minorEastAsia" w:hAnsiTheme="minorEastAsia" w:eastAsiaTheme="minorEastAsia"/>
                <w:b/>
                <w:bCs/>
                <w:sz w:val="24"/>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77" w:type="pct"/>
            <w:vAlign w:val="center"/>
          </w:tcPr>
          <w:p>
            <w:pPr>
              <w:spacing w:line="360" w:lineRule="auto"/>
              <w:jc w:val="center"/>
              <w:rPr>
                <w:rFonts w:asciiTheme="minorEastAsia" w:hAnsiTheme="minorEastAsia" w:eastAsiaTheme="minorEastAsia"/>
                <w:sz w:val="24"/>
                <w:szCs w:val="18"/>
              </w:rPr>
            </w:pPr>
            <w:r>
              <w:rPr>
                <w:rFonts w:hint="eastAsia" w:asciiTheme="minorEastAsia" w:hAnsiTheme="minorEastAsia" w:eastAsiaTheme="minorEastAsia"/>
                <w:sz w:val="24"/>
                <w:szCs w:val="18"/>
              </w:rPr>
              <w:t>1</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智能车载</w:t>
            </w:r>
          </w:p>
          <w:p>
            <w:pPr>
              <w:keepNext w:val="0"/>
              <w:keepLines w:val="0"/>
              <w:widowControl/>
              <w:suppressLineNumbers w:val="0"/>
              <w:spacing w:line="360" w:lineRule="auto"/>
              <w:jc w:val="center"/>
              <w:textAlignment w:val="center"/>
              <w:rPr>
                <w:rFonts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终端</w:t>
            </w:r>
          </w:p>
        </w:tc>
        <w:tc>
          <w:tcPr>
            <w:tcW w:w="2584" w:type="pct"/>
            <w:vAlign w:val="center"/>
          </w:tcPr>
          <w:p>
            <w:pPr>
              <w:keepNext w:val="0"/>
              <w:keepLines w:val="0"/>
              <w:widowControl/>
              <w:suppressLineNumbers w:val="0"/>
              <w:spacing w:line="360" w:lineRule="auto"/>
              <w:jc w:val="center"/>
              <w:textAlignment w:val="center"/>
              <w:rPr>
                <w:rFonts w:hint="eastAsia" w:eastAsiaTheme="minorEastAsia"/>
                <w:highlight w:val="none"/>
                <w:lang w:eastAsia="zh-CN"/>
              </w:rPr>
            </w:pPr>
            <w:r>
              <w:rPr>
                <w:rFonts w:hint="eastAsia" w:asciiTheme="minorEastAsia" w:hAnsiTheme="minorEastAsia" w:eastAsiaTheme="minorEastAsia" w:cstheme="minorEastAsia"/>
                <w:color w:val="000000"/>
                <w:sz w:val="24"/>
                <w:szCs w:val="24"/>
                <w:highlight w:val="none"/>
              </w:rPr>
              <w:t>CPU E3825 主频1.33G /内存2G/固态硬盘32G/8英寸液晶触摸屏</w:t>
            </w:r>
            <w:r>
              <w:rPr>
                <w:rFonts w:hint="eastAsia" w:asciiTheme="minorEastAsia" w:hAnsiTheme="minorEastAsia" w:eastAsiaTheme="minorEastAsia" w:cstheme="minorEastAsia"/>
                <w:color w:val="000000"/>
                <w:sz w:val="24"/>
                <w:szCs w:val="24"/>
                <w:highlight w:val="none"/>
                <w:lang w:eastAsia="zh-CN"/>
              </w:rPr>
              <w:t>，支持windows系统或安卓系统</w:t>
            </w:r>
          </w:p>
        </w:tc>
        <w:tc>
          <w:tcPr>
            <w:tcW w:w="408" w:type="pct"/>
            <w:vAlign w:val="center"/>
          </w:tcPr>
          <w:p>
            <w:pPr>
              <w:keepNext w:val="0"/>
              <w:keepLines w:val="0"/>
              <w:widowControl/>
              <w:suppressLineNumbers w:val="0"/>
              <w:spacing w:line="360" w:lineRule="auto"/>
              <w:jc w:val="center"/>
              <w:textAlignment w:val="center"/>
              <w:rPr>
                <w:rFonts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台</w:t>
            </w:r>
          </w:p>
        </w:tc>
        <w:tc>
          <w:tcPr>
            <w:tcW w:w="38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lang w:eastAsia="zh-CN"/>
              </w:rPr>
            </w:pPr>
            <w:r>
              <w:rPr>
                <w:rFonts w:hint="eastAsia" w:ascii="宋体" w:hAnsi="宋体" w:eastAsia="宋体" w:cs="宋体"/>
                <w:i w:val="0"/>
                <w:iCs w:val="0"/>
                <w:color w:val="000000"/>
                <w:kern w:val="0"/>
                <w:sz w:val="24"/>
                <w:szCs w:val="24"/>
                <w:u w:val="none"/>
                <w:lang w:val="en-US" w:eastAsia="zh-CN" w:bidi="ar"/>
              </w:rPr>
              <w:t>2</w:t>
            </w:r>
          </w:p>
        </w:tc>
        <w:tc>
          <w:tcPr>
            <w:tcW w:w="574" w:type="pct"/>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科目二小车考试车改装明细(C1/C2/C5)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77" w:type="pct"/>
            <w:vAlign w:val="center"/>
          </w:tcPr>
          <w:p>
            <w:pPr>
              <w:spacing w:line="360" w:lineRule="auto"/>
              <w:jc w:val="center"/>
              <w:rPr>
                <w:rFonts w:hint="eastAsia"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2</w:t>
            </w:r>
          </w:p>
        </w:tc>
        <w:tc>
          <w:tcPr>
            <w:tcW w:w="76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智能主控系统和嵌入式控制软件</w:t>
            </w:r>
          </w:p>
        </w:tc>
        <w:tc>
          <w:tcPr>
            <w:tcW w:w="2584" w:type="pct"/>
            <w:vAlign w:val="center"/>
          </w:tcPr>
          <w:p>
            <w:pPr>
              <w:keepNext w:val="0"/>
              <w:keepLines w:val="0"/>
              <w:widowControl/>
              <w:suppressLineNumbers w:val="0"/>
              <w:spacing w:line="360" w:lineRule="auto"/>
              <w:jc w:val="center"/>
              <w:textAlignment w:val="center"/>
              <w:rPr>
                <w:rFonts w:hint="eastAsia"/>
                <w:highlight w:val="none"/>
                <w:lang w:eastAsia="zh-CN"/>
              </w:rPr>
            </w:pPr>
            <w:r>
              <w:rPr>
                <w:rFonts w:hint="eastAsia" w:asciiTheme="minorEastAsia" w:hAnsiTheme="minorEastAsia" w:eastAsiaTheme="minorEastAsia" w:cstheme="minorEastAsia"/>
                <w:color w:val="000000"/>
                <w:sz w:val="24"/>
                <w:szCs w:val="24"/>
                <w:highlight w:val="none"/>
              </w:rPr>
              <w:t>支持GPS\GLONASS双系统，实时监测车辆坐标和航向角。动态定位精度≤2厘米，航向精度&lt;0.1度（2米基线）；含通讯电台、视频服务器、信号采集与转换、宽输入电源等</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eastAsia"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3</w:t>
            </w:r>
          </w:p>
        </w:tc>
        <w:tc>
          <w:tcPr>
            <w:tcW w:w="76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测量型天线</w:t>
            </w:r>
          </w:p>
        </w:tc>
        <w:tc>
          <w:tcPr>
            <w:tcW w:w="2584" w:type="pct"/>
            <w:vAlign w:val="center"/>
          </w:tcPr>
          <w:p>
            <w:pPr>
              <w:keepNext w:val="0"/>
              <w:keepLines w:val="0"/>
              <w:widowControl/>
              <w:suppressLineNumbers w:val="0"/>
              <w:spacing w:line="360" w:lineRule="auto"/>
              <w:jc w:val="center"/>
              <w:textAlignment w:val="center"/>
              <w:rPr>
                <w:rFonts w:hint="eastAsia"/>
                <w:highlight w:val="none"/>
                <w:lang w:eastAsia="zh-CN"/>
              </w:rPr>
            </w:pPr>
            <w:r>
              <w:rPr>
                <w:rFonts w:hint="eastAsia" w:asciiTheme="minorEastAsia" w:hAnsiTheme="minorEastAsia" w:eastAsiaTheme="minorEastAsia" w:cstheme="minorEastAsia"/>
                <w:color w:val="000000"/>
                <w:sz w:val="24"/>
                <w:szCs w:val="24"/>
                <w:highlight w:val="none"/>
              </w:rPr>
              <w:t>双系统四频测量型天线(含底座和馈线)</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只</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eastAsia"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4</w:t>
            </w:r>
          </w:p>
        </w:tc>
        <w:tc>
          <w:tcPr>
            <w:tcW w:w="76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传感器组</w:t>
            </w:r>
          </w:p>
        </w:tc>
        <w:tc>
          <w:tcPr>
            <w:tcW w:w="2584" w:type="pct"/>
            <w:vAlign w:val="center"/>
          </w:tcPr>
          <w:p>
            <w:pPr>
              <w:keepNext w:val="0"/>
              <w:keepLines w:val="0"/>
              <w:widowControl/>
              <w:suppressLineNumbers w:val="0"/>
              <w:spacing w:line="360" w:lineRule="auto"/>
              <w:jc w:val="center"/>
              <w:textAlignment w:val="center"/>
              <w:rPr>
                <w:rFonts w:hint="eastAsia"/>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精简版，符合最新行业标准要求</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eastAsia"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5</w:t>
            </w:r>
          </w:p>
        </w:tc>
        <w:tc>
          <w:tcPr>
            <w:tcW w:w="76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综合布线</w:t>
            </w:r>
          </w:p>
        </w:tc>
        <w:tc>
          <w:tcPr>
            <w:tcW w:w="2584" w:type="pct"/>
            <w:vAlign w:val="center"/>
          </w:tcPr>
          <w:p>
            <w:pPr>
              <w:keepNext w:val="0"/>
              <w:keepLines w:val="0"/>
              <w:widowControl/>
              <w:suppressLineNumbers w:val="0"/>
              <w:spacing w:line="360" w:lineRule="auto"/>
              <w:jc w:val="center"/>
              <w:textAlignment w:val="center"/>
              <w:rPr>
                <w:rFonts w:hint="eastAsia"/>
                <w:highlight w:val="none"/>
                <w:lang w:eastAsia="zh-CN"/>
              </w:rPr>
            </w:pPr>
            <w:r>
              <w:rPr>
                <w:rFonts w:hint="eastAsia" w:asciiTheme="minorEastAsia" w:hAnsiTheme="minorEastAsia" w:eastAsiaTheme="minorEastAsia" w:cstheme="minorEastAsia"/>
                <w:color w:val="000000"/>
                <w:sz w:val="24"/>
                <w:szCs w:val="24"/>
                <w:highlight w:val="none"/>
              </w:rPr>
              <w:t>含设备支架及线材等附件</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eastAsia"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6</w:t>
            </w:r>
          </w:p>
        </w:tc>
        <w:tc>
          <w:tcPr>
            <w:tcW w:w="768"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rPr>
            </w:pPr>
            <w:r>
              <w:rPr>
                <w:rFonts w:hint="eastAsia" w:ascii="宋体" w:hAnsi="宋体" w:eastAsia="宋体" w:cs="宋体"/>
                <w:i w:val="0"/>
                <w:iCs w:val="0"/>
                <w:color w:val="000000"/>
                <w:kern w:val="0"/>
                <w:sz w:val="24"/>
                <w:szCs w:val="24"/>
                <w:u w:val="none"/>
                <w:lang w:val="en-US" w:eastAsia="zh-CN" w:bidi="ar"/>
              </w:rPr>
              <w:t>车载评判软件(小车)</w:t>
            </w:r>
          </w:p>
        </w:tc>
        <w:tc>
          <w:tcPr>
            <w:tcW w:w="2584" w:type="pct"/>
            <w:vAlign w:val="center"/>
          </w:tcPr>
          <w:p>
            <w:pPr>
              <w:keepNext w:val="0"/>
              <w:keepLines w:val="0"/>
              <w:widowControl/>
              <w:suppressLineNumbers w:val="0"/>
              <w:spacing w:line="360" w:lineRule="auto"/>
              <w:jc w:val="center"/>
              <w:textAlignment w:val="center"/>
              <w:rPr>
                <w:rFonts w:hint="eastAsia"/>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符合最新行业标准要求</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7</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直角转弯</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项目定位、评判点测绘及软件建模</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574" w:type="pct"/>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场地考试项目（小车：C）(卫星差分定位评判方式)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8</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侧方停车</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项目定位、评判点测绘及软件建模</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9</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坡道定点停车及起步</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项目定位、评判点测绘及软件建模</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10</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曲线行驶</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项目定位、评判点测绘及软件建模</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11</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倒车入库</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项目定位、评判点测绘及软件建模</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8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574" w:type="pct"/>
            <w:vMerge w:val="continue"/>
            <w:vAlign w:val="center"/>
          </w:tcPr>
          <w:p>
            <w:pPr>
              <w:spacing w:line="36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277" w:type="pct"/>
            <w:vAlign w:val="center"/>
          </w:tcPr>
          <w:p>
            <w:pPr>
              <w:spacing w:line="360" w:lineRule="auto"/>
              <w:jc w:val="center"/>
              <w:rPr>
                <w:rFonts w:hint="default" w:asciiTheme="minorEastAsia" w:hAnsiTheme="minorEastAsia" w:eastAsiaTheme="minorEastAsia"/>
                <w:sz w:val="24"/>
                <w:szCs w:val="18"/>
                <w:lang w:val="en-US" w:eastAsia="zh-CN"/>
              </w:rPr>
            </w:pPr>
            <w:r>
              <w:rPr>
                <w:rFonts w:hint="eastAsia" w:asciiTheme="minorEastAsia" w:hAnsiTheme="minorEastAsia" w:eastAsiaTheme="minorEastAsia"/>
                <w:sz w:val="24"/>
                <w:szCs w:val="18"/>
                <w:lang w:val="en-US" w:eastAsia="zh-CN"/>
              </w:rPr>
              <w:t>12</w:t>
            </w:r>
          </w:p>
        </w:tc>
        <w:tc>
          <w:tcPr>
            <w:tcW w:w="76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卫星差分定位基准站和软件</w:t>
            </w:r>
          </w:p>
        </w:tc>
        <w:tc>
          <w:tcPr>
            <w:tcW w:w="2584" w:type="pct"/>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color w:val="000000"/>
                <w:kern w:val="0"/>
                <w:sz w:val="24"/>
                <w:szCs w:val="24"/>
                <w:highlight w:val="none"/>
                <w:lang w:bidi="ar"/>
              </w:rPr>
              <w:t>支持北斗\GPS\GLONASS三星系统，为考试车辆提供实时差分改正数，含5米测量型天线、串口服务器等</w:t>
            </w:r>
          </w:p>
        </w:tc>
        <w:tc>
          <w:tcPr>
            <w:tcW w:w="408" w:type="pc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388" w:type="pct"/>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574"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科目二计算机考试系统控制中心</w:t>
            </w:r>
          </w:p>
        </w:tc>
      </w:tr>
    </w:tbl>
    <w:p>
      <w:pPr>
        <w:spacing w:line="360" w:lineRule="auto"/>
        <w:ind w:firstLine="437"/>
        <w:rPr>
          <w:rFonts w:ascii="宋体" w:hAnsi="宋体" w:eastAsia="宋体"/>
          <w:b/>
          <w:bCs/>
          <w:sz w:val="24"/>
          <w:szCs w:val="18"/>
          <w:highlight w:val="none"/>
        </w:rPr>
      </w:pPr>
      <w:r>
        <w:rPr>
          <w:rFonts w:hint="eastAsia" w:asciiTheme="minorEastAsia" w:hAnsiTheme="minorEastAsia" w:eastAsiaTheme="minorEastAsia" w:cstheme="minorEastAsia"/>
          <w:b/>
          <w:bCs/>
          <w:sz w:val="24"/>
          <w:szCs w:val="24"/>
          <w:highlight w:val="none"/>
          <w:lang w:val="en-US" w:eastAsia="zh-CN"/>
        </w:rPr>
        <w:t>三</w:t>
      </w:r>
      <w:r>
        <w:rPr>
          <w:rFonts w:hint="eastAsia" w:asciiTheme="minorEastAsia" w:hAnsiTheme="minorEastAsia" w:eastAsiaTheme="minorEastAsia" w:cstheme="minorEastAsia"/>
          <w:b/>
          <w:bCs/>
          <w:sz w:val="24"/>
          <w:szCs w:val="24"/>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1、供应商的报价应包含有所投货物</w:t>
      </w:r>
      <w:r>
        <w:rPr>
          <w:rFonts w:hint="eastAsia" w:ascii="宋体" w:hAnsi="宋体" w:eastAsia="宋体" w:cs="宋体"/>
          <w:bCs/>
          <w:sz w:val="24"/>
          <w:szCs w:val="18"/>
          <w:highlight w:val="none"/>
          <w:lang w:val="en-US" w:eastAsia="zh-CN"/>
        </w:rPr>
        <w:t>的</w:t>
      </w:r>
      <w:r>
        <w:rPr>
          <w:rFonts w:hint="eastAsia" w:ascii="宋体" w:hAnsi="宋体" w:eastAsia="宋体" w:cs="宋体"/>
          <w:bCs/>
          <w:sz w:val="24"/>
          <w:szCs w:val="18"/>
          <w:highlight w:val="none"/>
        </w:rPr>
        <w:t>税费及包装、</w:t>
      </w:r>
      <w:r>
        <w:rPr>
          <w:rFonts w:hint="eastAsia" w:ascii="宋体" w:hAnsi="宋体" w:eastAsia="宋体" w:cs="宋体"/>
          <w:bCs/>
          <w:sz w:val="24"/>
          <w:szCs w:val="18"/>
          <w:highlight w:val="none"/>
          <w:lang w:val="en-US" w:eastAsia="zh-CN"/>
        </w:rPr>
        <w:t>人工费、</w:t>
      </w:r>
      <w:r>
        <w:rPr>
          <w:rFonts w:hint="eastAsia" w:ascii="宋体" w:hAnsi="宋体" w:eastAsia="宋体" w:cs="宋体"/>
          <w:bCs/>
          <w:sz w:val="24"/>
          <w:szCs w:val="18"/>
          <w:highlight w:val="none"/>
        </w:rPr>
        <w:t>运输、</w:t>
      </w:r>
      <w:r>
        <w:rPr>
          <w:rFonts w:hint="eastAsia" w:ascii="宋体" w:hAnsi="宋体" w:eastAsia="宋体" w:cs="宋体"/>
          <w:bCs/>
          <w:sz w:val="24"/>
          <w:szCs w:val="18"/>
          <w:highlight w:val="none"/>
          <w:lang w:val="en-US" w:eastAsia="zh-CN"/>
        </w:rPr>
        <w:t>安装、</w:t>
      </w:r>
      <w:r>
        <w:rPr>
          <w:rFonts w:hint="eastAsia" w:ascii="宋体" w:hAnsi="宋体" w:eastAsia="宋体" w:cs="宋体"/>
          <w:bCs/>
          <w:sz w:val="24"/>
          <w:szCs w:val="18"/>
          <w:highlight w:val="none"/>
        </w:rPr>
        <w:t>保险和交付后规定免费维保期内维保及所有可预见和不可预见的一般风险、责任和义务等所有的一切相关费用。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2、清单中未列项的辅材以及为完成本项目可能发生的其他费用请供应商自行测算并分摊到报价中。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val="en-US" w:eastAsia="zh-CN"/>
        </w:rPr>
        <w:t>3</w:t>
      </w:r>
      <w:r>
        <w:rPr>
          <w:rFonts w:hint="eastAsia" w:ascii="宋体" w:hAnsi="宋体" w:eastAsia="宋体" w:cs="宋体"/>
          <w:bCs/>
          <w:sz w:val="24"/>
          <w:szCs w:val="18"/>
          <w:highlight w:val="none"/>
        </w:rPr>
        <w:t>、项目实施时，采购人有要求成交供应商分阶段、分批量供货及安装的权利，其不涉及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单价调整。采购人有权对采购数量进行调整，其不涉及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单价调整，且采购人不保证最低的采购数量。请供应商综合考虑风险，</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后不履行上述要求视为违约，情节严重的</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将终止合同。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宋体" w:hAnsi="宋体" w:eastAsia="宋体" w:cs="宋体"/>
          <w:b/>
          <w:bCs w:val="0"/>
          <w:sz w:val="24"/>
          <w:szCs w:val="18"/>
          <w:highlight w:val="none"/>
          <w:lang w:val="en-US" w:eastAsia="zh-CN"/>
        </w:rPr>
        <w:t>4</w:t>
      </w:r>
      <w:r>
        <w:rPr>
          <w:rFonts w:hint="eastAsia" w:ascii="宋体" w:hAnsi="宋体" w:eastAsia="宋体" w:cs="宋体"/>
          <w:b/>
          <w:bCs w:val="0"/>
          <w:sz w:val="24"/>
          <w:szCs w:val="18"/>
          <w:highlight w:val="none"/>
        </w:rPr>
        <w:t>、本项目采用单价报价，供应商须在“第六章响应文件格式”的“1-2分项报价单”中列明单价</w:t>
      </w:r>
      <w:r>
        <w:rPr>
          <w:rFonts w:hint="eastAsia" w:ascii="宋体" w:hAnsi="宋体" w:eastAsia="宋体" w:cs="宋体"/>
          <w:b/>
          <w:bCs w:val="0"/>
          <w:sz w:val="24"/>
          <w:szCs w:val="18"/>
          <w:highlight w:val="none"/>
          <w:lang w:eastAsia="zh-CN"/>
        </w:rPr>
        <w:t>，</w:t>
      </w:r>
      <w:r>
        <w:rPr>
          <w:rFonts w:hint="eastAsia" w:ascii="宋体" w:hAnsi="宋体" w:eastAsia="宋体" w:cs="宋体"/>
          <w:b/>
          <w:bCs w:val="0"/>
          <w:sz w:val="24"/>
          <w:szCs w:val="18"/>
          <w:highlight w:val="none"/>
        </w:rPr>
        <w:t>总价作为评审及签订合同的依据，单价作为结算依据，结算以采购人实际要求的</w:t>
      </w:r>
      <w:r>
        <w:rPr>
          <w:rFonts w:hint="eastAsia" w:ascii="宋体" w:hAnsi="宋体" w:eastAsia="宋体" w:cs="宋体"/>
          <w:b/>
          <w:bCs w:val="0"/>
          <w:sz w:val="24"/>
          <w:szCs w:val="18"/>
          <w:highlight w:val="none"/>
          <w:lang w:val="en-US" w:eastAsia="zh-CN"/>
        </w:rPr>
        <w:t>安装</w:t>
      </w:r>
      <w:r>
        <w:rPr>
          <w:rFonts w:hint="eastAsia" w:ascii="宋体" w:hAnsi="宋体" w:eastAsia="宋体" w:cs="宋体"/>
          <w:b/>
          <w:bCs w:val="0"/>
          <w:sz w:val="24"/>
          <w:szCs w:val="18"/>
          <w:highlight w:val="none"/>
        </w:rPr>
        <w:t>数量乘以单价。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宋体" w:hAnsi="宋体" w:eastAsia="宋体" w:cs="宋体"/>
          <w:b/>
          <w:bCs w:val="0"/>
          <w:sz w:val="24"/>
          <w:szCs w:val="18"/>
          <w:highlight w:val="none"/>
        </w:rPr>
        <w:t>供应商报价总价不得超过本项目预算价，</w:t>
      </w:r>
      <w:r>
        <w:rPr>
          <w:rFonts w:hint="eastAsia" w:ascii="宋体" w:hAnsi="宋体" w:eastAsia="宋体" w:cs="宋体"/>
          <w:b/>
          <w:bCs w:val="0"/>
          <w:sz w:val="24"/>
          <w:szCs w:val="18"/>
          <w:highlight w:val="none"/>
          <w:lang w:val="en-US" w:eastAsia="zh-CN"/>
        </w:rPr>
        <w:t>数量应为上表中所列数量，</w:t>
      </w:r>
      <w:r>
        <w:rPr>
          <w:rFonts w:hint="eastAsia" w:ascii="宋体" w:hAnsi="宋体" w:eastAsia="宋体" w:cs="宋体"/>
          <w:b/>
          <w:bCs w:val="0"/>
          <w:sz w:val="24"/>
          <w:szCs w:val="18"/>
          <w:highlight w:val="none"/>
        </w:rPr>
        <w:t>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18"/>
          <w:highlight w:val="none"/>
          <w:lang w:val="en-US" w:eastAsia="zh-CN"/>
        </w:rPr>
      </w:pPr>
      <w:r>
        <w:rPr>
          <w:rFonts w:hint="eastAsia" w:ascii="宋体" w:hAnsi="宋体" w:eastAsia="宋体" w:cs="宋体"/>
          <w:b/>
          <w:bCs/>
          <w:sz w:val="24"/>
          <w:szCs w:val="18"/>
          <w:highlight w:val="none"/>
          <w:lang w:val="en-US" w:eastAsia="zh-CN"/>
        </w:rPr>
        <w:t>四、其他要求</w:t>
      </w:r>
    </w:p>
    <w:p>
      <w:pPr>
        <w:pStyle w:val="6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供应商应保证货物是全新、未使用过的，并完全符合合同规定的质量、规格和性能的要求的正品。供应商应保证其货物在正确使用条件下，在质保期内应具有合格的质量。在货物每批次供货完成且验收合格后的质量保证期内，成交供应商应对由于货物的缺陷而发生的任何不足或质量问题负责，根据采购人要求调换成合格的产品，费用由成交供应商承担，成交后不履行上述要求视为违约，情节严重的采购人将终止合同。</w:t>
      </w:r>
    </w:p>
    <w:p>
      <w:pPr>
        <w:pStyle w:val="6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2、若产品的外包装及产品破损、受潮等</w:t>
      </w:r>
      <w:r>
        <w:rPr>
          <w:rFonts w:hint="eastAsia" w:ascii="宋体" w:hAnsi="宋体" w:eastAsia="宋体" w:cs="宋体"/>
          <w:sz w:val="24"/>
          <w:highlight w:val="none"/>
          <w:lang w:val="en-US" w:eastAsia="zh-CN"/>
        </w:rPr>
        <w:t>质量问题</w:t>
      </w:r>
      <w:r>
        <w:rPr>
          <w:rFonts w:hint="eastAsia" w:ascii="宋体" w:hAnsi="宋体" w:eastAsia="宋体" w:cs="宋体"/>
          <w:sz w:val="24"/>
          <w:highlight w:val="none"/>
        </w:rPr>
        <w:t>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无条件负责</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3、在质保期内，</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关于产品质量问题的通知后</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天内，应</w:t>
      </w:r>
      <w:r>
        <w:rPr>
          <w:rFonts w:hint="eastAsia" w:ascii="宋体" w:hAnsi="宋体" w:eastAsia="宋体" w:cs="宋体"/>
          <w:sz w:val="24"/>
          <w:highlight w:val="none"/>
          <w:lang w:val="en-US" w:eastAsia="zh-CN"/>
        </w:rPr>
        <w:t>立即</w:t>
      </w:r>
      <w:r>
        <w:rPr>
          <w:rFonts w:hint="eastAsia" w:ascii="宋体" w:hAnsi="宋体" w:eastAsia="宋体" w:cs="宋体"/>
          <w:sz w:val="24"/>
          <w:highlight w:val="none"/>
        </w:rPr>
        <w:t>免费</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有缺陷的货物或部件。如果</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在收到通知</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天内没有弥补缺陷，</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可采取必要的补救措施，但风险和费用将由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承担</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情节严重的采购人将终止合同。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4、供应商成交后须为本项目配备满足项目安装要求的相关专业人员。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5、供应商按照采购人指定的车辆、位置完成安装服务，经采购人验收合格后完成交付。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6、供应商未能在约定的交货期限内提供合格服务并完成交付的，视为延期交货，每延期一天，均按照 1000 元/天由供应商赔偿采购人，情况严重的 (延期超过 5 天)，采购人有权解除本合同，若因此造成采购人经济损失的，采购人有权要求供应商承担经济赔偿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7、供应商交付的货物全部或部分不符合约定质量标准的，视为供应商未交货因此造成供货延期的，按本上述规定执行。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8、</w:t>
      </w:r>
      <w:r>
        <w:rPr>
          <w:rFonts w:hint="default" w:ascii="宋体" w:hAnsi="宋体" w:eastAsia="宋体" w:cs="宋体"/>
          <w:b/>
          <w:bCs/>
          <w:sz w:val="24"/>
          <w:highlight w:val="none"/>
          <w:lang w:val="en-US" w:eastAsia="zh-CN"/>
        </w:rPr>
        <w:t>本项目采购设备和软件为驾校模拟训练使用，软件模型测绘、语音评判、功能界面需与巢湖场地驾驶技能考核设备一致，否则验收时候不予通过。请供应商综合考虑风险，成交后无法履行上述要求视为违约，采购人将终止合同并要求供应商承担相关损失。</w:t>
      </w:r>
    </w:p>
    <w:p>
      <w:pPr>
        <w:spacing w:line="360" w:lineRule="auto"/>
        <w:jc w:val="center"/>
        <w:outlineLvl w:val="1"/>
        <w:rPr>
          <w:rFonts w:hint="eastAsia" w:asciiTheme="minorEastAsia" w:hAnsiTheme="minorEastAsia" w:eastAsiaTheme="minorEastAsia"/>
          <w:b/>
          <w:sz w:val="28"/>
          <w:highlight w:val="none"/>
        </w:rPr>
      </w:pPr>
      <w:bookmarkStart w:id="5" w:name="_Toc26638973"/>
      <w:bookmarkStart w:id="171" w:name="_GoBack"/>
      <w:bookmarkEnd w:id="171"/>
    </w:p>
    <w:p>
      <w:pPr>
        <w:pStyle w:val="25"/>
        <w:rPr>
          <w:rFonts w:hint="eastAsia"/>
          <w:highlight w:val="none"/>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outlineLvl w:val="1"/>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第四章  评审方法和标准</w:t>
      </w:r>
      <w:bookmarkEnd w:id="5"/>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本项目将按照磋商文件第二章 供应商须知的相关要求</w:t>
      </w:r>
      <w:r>
        <w:rPr>
          <w:rFonts w:asciiTheme="minorEastAsia" w:hAnsiTheme="minorEastAsia" w:eastAsiaTheme="minorEastAsia"/>
          <w:sz w:val="24"/>
          <w:highlight w:val="none"/>
        </w:rPr>
        <w:t>及本章的规定</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二、评审方法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2.1初审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磋商小组对供应商的响应文件进行初审，以确定其是否满足磋商文件的实质性要求。初审表如下：</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57"/>
        <w:gridCol w:w="2267"/>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b/>
                <w:sz w:val="24"/>
                <w:szCs w:val="22"/>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序号</w:t>
            </w:r>
          </w:p>
        </w:tc>
        <w:tc>
          <w:tcPr>
            <w:tcW w:w="972" w:type="pct"/>
            <w:tcBorders>
              <w:bottom w:val="single" w:color="auto" w:sz="4" w:space="0"/>
            </w:tcBorders>
            <w:vAlign w:val="center"/>
          </w:tcPr>
          <w:p>
            <w:pPr>
              <w:pStyle w:val="35"/>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highlight w:val="none"/>
              </w:rPr>
            </w:pPr>
            <w:r>
              <w:rPr>
                <w:rFonts w:hint="eastAsia" w:ascii="宋体" w:hAnsi="宋体" w:eastAsia="宋体"/>
                <w:kern w:val="2"/>
                <w:szCs w:val="24"/>
                <w:highlight w:val="none"/>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评审标准</w:t>
            </w:r>
          </w:p>
        </w:tc>
        <w:tc>
          <w:tcPr>
            <w:tcW w:w="2282"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营业执照</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282" w:type="pct"/>
            <w:vMerge w:val="restart"/>
            <w:vAlign w:val="center"/>
          </w:tcPr>
          <w:p>
            <w:pPr>
              <w:spacing w:line="360" w:lineRule="auto"/>
              <w:jc w:val="left"/>
              <w:rPr>
                <w:rFonts w:ascii="宋体" w:hAnsi="宋体" w:eastAsia="宋体"/>
                <w:sz w:val="24"/>
                <w:highlight w:val="none"/>
              </w:rPr>
            </w:pPr>
            <w:r>
              <w:rPr>
                <w:rFonts w:hint="eastAsia" w:ascii="宋体" w:hAnsi="宋体" w:eastAsia="宋体"/>
                <w:sz w:val="24"/>
                <w:highlight w:val="none"/>
              </w:rPr>
              <w:t>提供有效的供应商营业执照（或事业单位法人登记证书）和税务登记证的扫描件，应完整的体现出营业执照（或事业单位法人登记证书）和税务登记证的全部内容。已办理“三证合一”登记的，响应文件中提供营业执照（或事业单位法人登记证书）扫描件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2</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税务登记证</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282"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3</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18"/>
                <w:highlight w:val="none"/>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供应商不得存在供应商</w:t>
            </w:r>
            <w:r>
              <w:rPr>
                <w:rFonts w:hint="eastAsia" w:ascii="宋体" w:hAnsi="宋体" w:eastAsia="宋体"/>
                <w:sz w:val="24"/>
                <w:highlight w:val="none"/>
              </w:rPr>
              <w:t>须知第</w:t>
            </w:r>
            <w:r>
              <w:rPr>
                <w:rFonts w:hint="eastAsia" w:asciiTheme="minorEastAsia" w:hAnsiTheme="minorEastAsia" w:eastAsiaTheme="minorEastAsia"/>
                <w:sz w:val="24"/>
                <w:highlight w:val="none"/>
              </w:rPr>
              <w:t>19.3.1.1</w:t>
            </w:r>
            <w:r>
              <w:rPr>
                <w:rFonts w:hint="eastAsia" w:ascii="宋体" w:hAnsi="宋体" w:eastAsia="宋体"/>
                <w:sz w:val="24"/>
                <w:highlight w:val="none"/>
              </w:rPr>
              <w:t>条</w:t>
            </w:r>
            <w:r>
              <w:rPr>
                <w:rFonts w:hint="eastAsia" w:ascii="宋体" w:hAnsi="宋体" w:eastAsia="宋体"/>
                <w:sz w:val="24"/>
                <w:szCs w:val="28"/>
                <w:highlight w:val="none"/>
              </w:rPr>
              <w:t>中的</w:t>
            </w:r>
            <w:r>
              <w:rPr>
                <w:rFonts w:hint="eastAsia" w:ascii="宋体" w:hAnsi="宋体" w:eastAsia="宋体"/>
                <w:sz w:val="24"/>
                <w:szCs w:val="18"/>
                <w:highlight w:val="none"/>
              </w:rPr>
              <w:t>不良信用记录情形</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详见供应商须知第</w:t>
            </w:r>
            <w:r>
              <w:rPr>
                <w:rFonts w:hint="eastAsia" w:asciiTheme="minorEastAsia" w:hAnsiTheme="minorEastAsia" w:eastAsiaTheme="minorEastAsia"/>
                <w:sz w:val="24"/>
                <w:highlight w:val="none"/>
              </w:rPr>
              <w:t>19.3.1</w:t>
            </w:r>
            <w:r>
              <w:rPr>
                <w:rFonts w:hint="eastAsia" w:ascii="宋体" w:hAnsi="宋体" w:eastAsia="宋体"/>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4</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18"/>
                <w:highlight w:val="none"/>
              </w:rPr>
            </w:pPr>
            <w:r>
              <w:rPr>
                <w:rFonts w:hint="eastAsia" w:ascii="宋体" w:hAnsi="宋体" w:eastAsia="宋体"/>
                <w:sz w:val="24"/>
                <w:szCs w:val="28"/>
                <w:highlight w:val="none"/>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highlight w:val="none"/>
                <w:lang w:eastAsia="zh-CN"/>
              </w:rPr>
            </w:pPr>
            <w:r>
              <w:rPr>
                <w:rFonts w:hint="eastAsia" w:ascii="宋体" w:hAnsi="宋体" w:eastAsia="宋体"/>
                <w:sz w:val="24"/>
                <w:szCs w:val="28"/>
                <w:highlight w:val="none"/>
              </w:rPr>
              <w:t>格式、填写要求符合磋商文件规定并加盖</w:t>
            </w:r>
            <w:r>
              <w:rPr>
                <w:rFonts w:hint="eastAsia" w:ascii="宋体" w:hAnsi="宋体" w:eastAsia="宋体"/>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5</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磋商响应函</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w:t>
            </w:r>
            <w:r>
              <w:rPr>
                <w:rFonts w:hint="eastAsia" w:ascii="宋体" w:hAnsi="宋体" w:eastAsia="宋体"/>
                <w:sz w:val="24"/>
                <w:szCs w:val="28"/>
                <w:highlight w:val="none"/>
              </w:rPr>
              <w:t>磋商</w:t>
            </w:r>
            <w:r>
              <w:rPr>
                <w:rFonts w:hint="eastAsia" w:asciiTheme="minorEastAsia" w:hAnsiTheme="minorEastAsia" w:eastAsiaTheme="minorEastAsia"/>
                <w:sz w:val="24"/>
                <w:szCs w:val="28"/>
                <w:highlight w:val="none"/>
              </w:rPr>
              <w:t>文件规定并加盖</w:t>
            </w:r>
            <w:r>
              <w:rPr>
                <w:rFonts w:hint="eastAsia" w:ascii="宋体" w:hAnsi="宋体" w:eastAsia="宋体"/>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Theme="minorEastAsia" w:hAnsiTheme="minorEastAsia" w:eastAsiaTheme="minorEastAsia"/>
                <w:sz w:val="24"/>
                <w:highlight w:val="none"/>
              </w:rPr>
              <w:t>详见第六章</w:t>
            </w:r>
            <w:r>
              <w:rPr>
                <w:rFonts w:hint="eastAsia" w:ascii="宋体" w:hAnsi="宋体" w:eastAsia="宋体"/>
                <w:sz w:val="24"/>
                <w:highlight w:val="none"/>
              </w:rPr>
              <w:t>响应</w:t>
            </w:r>
            <w:r>
              <w:rPr>
                <w:rFonts w:hint="eastAsia" w:asciiTheme="minorEastAsia" w:hAnsiTheme="minorEastAsia" w:eastAsiaTheme="minorEastAsia"/>
                <w:sz w:val="24"/>
                <w:highlight w:val="none"/>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6</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磋商授权书</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w:t>
            </w:r>
            <w:r>
              <w:rPr>
                <w:rFonts w:hint="eastAsia" w:ascii="宋体" w:hAnsi="宋体" w:eastAsia="宋体"/>
                <w:sz w:val="24"/>
                <w:szCs w:val="28"/>
                <w:highlight w:val="none"/>
              </w:rPr>
              <w:t>磋商</w:t>
            </w:r>
            <w:r>
              <w:rPr>
                <w:rFonts w:hint="eastAsia" w:asciiTheme="minorEastAsia" w:hAnsiTheme="minorEastAsia" w:eastAsiaTheme="minorEastAsia"/>
                <w:sz w:val="24"/>
                <w:szCs w:val="28"/>
                <w:highlight w:val="none"/>
              </w:rPr>
              <w:t>文件规定并加盖</w:t>
            </w:r>
            <w:r>
              <w:rPr>
                <w:rFonts w:hint="eastAsia" w:asciiTheme="minorEastAsia" w:hAnsiTheme="minorEastAsia" w:eastAsiaTheme="minorEastAsia"/>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Theme="minorEastAsia" w:hAnsiTheme="minorEastAsia" w:eastAsiaTheme="minorEastAsia"/>
                <w:sz w:val="24"/>
                <w:highlight w:val="none"/>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7</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磋商文件获取情况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在磋商文件获取截止时间前完成磋商文件获取</w:t>
            </w:r>
          </w:p>
        </w:tc>
        <w:tc>
          <w:tcPr>
            <w:tcW w:w="2282" w:type="pct"/>
            <w:tcBorders>
              <w:bottom w:val="single" w:color="auto" w:sz="4" w:space="0"/>
            </w:tcBorders>
            <w:vAlign w:val="center"/>
          </w:tcPr>
          <w:p>
            <w:pPr>
              <w:adjustRightInd w:val="0"/>
              <w:snapToGrid w:val="0"/>
              <w:spacing w:line="360" w:lineRule="auto"/>
              <w:ind w:right="-10" w:rightChars="0"/>
              <w:jc w:val="left"/>
              <w:rPr>
                <w:rFonts w:cs="@仿宋_GB2312" w:asciiTheme="minorEastAsia" w:hAnsiTheme="minorEastAsia" w:eastAsiaTheme="minorEastAsia"/>
                <w:kern w:val="2"/>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8</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磋商报价</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w:t>
            </w:r>
            <w:r>
              <w:rPr>
                <w:rFonts w:hint="eastAsia" w:asciiTheme="minorEastAsia" w:hAnsiTheme="minorEastAsia" w:eastAsiaTheme="minorEastAsia"/>
                <w:sz w:val="24"/>
                <w:highlight w:val="none"/>
              </w:rPr>
              <w:t>文件供应商须知正文第1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、22条要求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9</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商务响应情况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符合磋商文件采购需求中付款方式、供货及安装期限、供货及安装地点、免费质保期的要求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详见第六章响应文件格式六（6</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vAlign w:val="center"/>
          </w:tcPr>
          <w:p>
            <w:pPr>
              <w:adjustRightInd w:val="0"/>
              <w:snapToGrid w:val="0"/>
              <w:spacing w:line="360" w:lineRule="auto"/>
              <w:ind w:right="-10"/>
              <w:jc w:val="center"/>
              <w:rPr>
                <w:rFonts w:ascii="宋体" w:hAnsi="宋体" w:eastAsia="宋体"/>
                <w:sz w:val="24"/>
                <w:highlight w:val="none"/>
              </w:rPr>
            </w:pPr>
            <w:r>
              <w:rPr>
                <w:rFonts w:ascii="宋体" w:hAnsi="宋体" w:eastAsia="宋体"/>
                <w:sz w:val="24"/>
                <w:highlight w:val="none"/>
              </w:rPr>
              <w:t>10</w:t>
            </w:r>
          </w:p>
        </w:tc>
        <w:tc>
          <w:tcPr>
            <w:tcW w:w="972"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技术响应情况</w:t>
            </w:r>
          </w:p>
        </w:tc>
        <w:tc>
          <w:tcPr>
            <w:tcW w:w="1330"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符合磋商文件采购需求中货物技术参数要求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详见第六章响应文件格式六（6</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技术响应表、6</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414" w:type="pct"/>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r>
              <w:rPr>
                <w:rFonts w:ascii="宋体" w:hAnsi="宋体" w:eastAsia="宋体"/>
                <w:sz w:val="24"/>
                <w:highlight w:val="none"/>
              </w:rPr>
              <w:t>1</w:t>
            </w:r>
          </w:p>
        </w:tc>
        <w:tc>
          <w:tcPr>
            <w:tcW w:w="972"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其他要求</w:t>
            </w:r>
          </w:p>
        </w:tc>
        <w:tc>
          <w:tcPr>
            <w:tcW w:w="1330"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符合法律、行政法规规定的其他条件或磋商文件列明的其他要求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p>
        </w:tc>
      </w:tr>
    </w:tbl>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b/>
          <w:bCs/>
          <w:sz w:val="24"/>
          <w:highlight w:val="none"/>
        </w:rPr>
        <w:t>初审指标通过标准：</w:t>
      </w:r>
      <w:r>
        <w:rPr>
          <w:rFonts w:hint="eastAsia" w:asciiTheme="minorEastAsia" w:hAnsiTheme="minorEastAsia" w:eastAsiaTheme="minorEastAsia"/>
          <w:sz w:val="24"/>
          <w:highlight w:val="none"/>
        </w:rPr>
        <w:t>供应商必须通过初审表中的全部评审指标。</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2.2综合评分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磋商小组按照下表对</w:t>
      </w:r>
      <w:r>
        <w:rPr>
          <w:rFonts w:hint="eastAsia" w:ascii="宋体" w:hAnsi="宋体" w:eastAsia="宋体"/>
          <w:sz w:val="24"/>
          <w:highlight w:val="none"/>
        </w:rPr>
        <w:t>进入综合评分的所有供应商的</w:t>
      </w:r>
      <w:r>
        <w:rPr>
          <w:rFonts w:hint="eastAsia" w:asciiTheme="minorEastAsia" w:hAnsiTheme="minorEastAsia" w:eastAsiaTheme="minorEastAsia"/>
          <w:sz w:val="24"/>
          <w:highlight w:val="none"/>
        </w:rPr>
        <w:t>响应文件进行综合评分。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本项目综合评分满分为1</w:t>
      </w:r>
      <w:r>
        <w:rPr>
          <w:rFonts w:asciiTheme="minorEastAsia" w:hAnsiTheme="minorEastAsia" w:eastAsiaTheme="minorEastAsia"/>
          <w:sz w:val="24"/>
          <w:highlight w:val="none"/>
        </w:rPr>
        <w:t>00</w:t>
      </w:r>
      <w:r>
        <w:rPr>
          <w:rFonts w:hint="eastAsia" w:asciiTheme="minorEastAsia" w:hAnsiTheme="minorEastAsia" w:eastAsiaTheme="minorEastAsia"/>
          <w:sz w:val="24"/>
          <w:highlight w:val="none"/>
        </w:rPr>
        <w:t>分，其中：技术资信分值占总分值的权重为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60</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%，价格分值占总分值的权重为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40</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%。具体评分细则如下：</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50"/>
        <w:gridCol w:w="540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类别</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内容</w:t>
            </w:r>
          </w:p>
        </w:tc>
        <w:tc>
          <w:tcPr>
            <w:tcW w:w="31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评分标准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分值</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jc w:val="center"/>
        </w:trPr>
        <w:tc>
          <w:tcPr>
            <w:tcW w:w="692"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技术资</w:t>
            </w:r>
          </w:p>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信分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60</w:t>
            </w:r>
            <w:r>
              <w:rPr>
                <w:rFonts w:hint="eastAsia" w:asciiTheme="minorEastAsia" w:hAnsiTheme="minorEastAsia" w:eastAsiaTheme="minorEastAsia"/>
                <w:sz w:val="24"/>
                <w:highlight w:val="none"/>
              </w:rPr>
              <w:t>分）</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lang w:val="en-US" w:eastAsia="zh-CN"/>
              </w:rPr>
            </w:pPr>
            <w:r>
              <w:rPr>
                <w:rFonts w:hint="eastAsia" w:ascii="宋体" w:hAnsi="宋体" w:eastAsia="宋体"/>
                <w:sz w:val="24"/>
                <w:szCs w:val="20"/>
                <w:highlight w:val="none"/>
              </w:rPr>
              <w:t>供货</w:t>
            </w:r>
            <w:r>
              <w:rPr>
                <w:rFonts w:hint="eastAsia" w:ascii="宋体" w:hAnsi="宋体" w:eastAsia="宋体"/>
                <w:sz w:val="24"/>
                <w:szCs w:val="20"/>
                <w:highlight w:val="none"/>
                <w:lang w:val="en-US" w:eastAsia="zh-CN"/>
              </w:rPr>
              <w:t>及安装</w:t>
            </w:r>
            <w:r>
              <w:rPr>
                <w:rFonts w:hint="eastAsia" w:ascii="宋体" w:hAnsi="宋体" w:eastAsia="宋体"/>
                <w:sz w:val="24"/>
                <w:szCs w:val="20"/>
                <w:highlight w:val="none"/>
              </w:rPr>
              <w:t>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0"/>
                <w:highlight w:val="none"/>
              </w:rPr>
            </w:pPr>
            <w:r>
              <w:rPr>
                <w:rFonts w:hint="eastAsia" w:ascii="宋体" w:hAnsi="宋体" w:eastAsia="宋体"/>
                <w:color w:val="000000"/>
                <w:sz w:val="24"/>
                <w:szCs w:val="20"/>
                <w:highlight w:val="none"/>
              </w:rPr>
              <w:t>根据</w:t>
            </w:r>
            <w:r>
              <w:rPr>
                <w:rFonts w:hint="eastAsia" w:ascii="宋体" w:hAnsi="宋体" w:eastAsia="宋体"/>
                <w:color w:val="000000"/>
                <w:sz w:val="24"/>
                <w:szCs w:val="20"/>
                <w:highlight w:val="none"/>
                <w:lang w:eastAsia="zh-CN"/>
              </w:rPr>
              <w:t>供应商</w:t>
            </w:r>
            <w:r>
              <w:rPr>
                <w:rFonts w:hint="eastAsia" w:ascii="宋体" w:hAnsi="宋体" w:eastAsia="宋体"/>
                <w:color w:val="000000"/>
                <w:sz w:val="24"/>
                <w:szCs w:val="20"/>
                <w:highlight w:val="none"/>
              </w:rPr>
              <w:t>响应文件中提供的供货方案</w:t>
            </w:r>
            <w:r>
              <w:rPr>
                <w:rFonts w:hint="eastAsia" w:ascii="宋体" w:hAnsi="宋体" w:eastAsia="宋体"/>
                <w:color w:val="000000"/>
                <w:sz w:val="24"/>
                <w:szCs w:val="20"/>
                <w:highlight w:val="none"/>
                <w:u w:val="none"/>
              </w:rPr>
              <w:t>（包括</w:t>
            </w:r>
            <w:r>
              <w:rPr>
                <w:rFonts w:hint="eastAsia" w:ascii="宋体" w:hAnsi="宋体" w:eastAsia="宋体" w:cs="宋体"/>
                <w:color w:val="000000"/>
                <w:kern w:val="0"/>
                <w:sz w:val="24"/>
                <w:szCs w:val="24"/>
                <w:highlight w:val="none"/>
                <w:u w:val="none"/>
              </w:rPr>
              <w:t>方案的可行性及合理性，</w:t>
            </w:r>
            <w:r>
              <w:rPr>
                <w:rFonts w:hint="eastAsia" w:ascii="宋体" w:hAnsi="宋体" w:eastAsia="宋体" w:cs="宋体"/>
                <w:color w:val="000000"/>
                <w:kern w:val="0"/>
                <w:sz w:val="24"/>
                <w:szCs w:val="24"/>
                <w:highlight w:val="none"/>
                <w:u w:val="none"/>
                <w:lang w:val="en-US" w:eastAsia="zh-CN"/>
              </w:rPr>
              <w:t>安装</w:t>
            </w:r>
            <w:r>
              <w:rPr>
                <w:rFonts w:hint="eastAsia" w:ascii="宋体" w:hAnsi="宋体" w:eastAsia="宋体" w:cs="宋体"/>
                <w:color w:val="000000"/>
                <w:kern w:val="0"/>
                <w:sz w:val="24"/>
                <w:szCs w:val="24"/>
                <w:highlight w:val="none"/>
                <w:u w:val="none"/>
              </w:rPr>
              <w:t>、检验</w:t>
            </w:r>
            <w:r>
              <w:rPr>
                <w:rFonts w:hint="eastAsia" w:ascii="宋体" w:hAnsi="宋体" w:eastAsia="宋体" w:cs="宋体"/>
                <w:color w:val="000000"/>
                <w:kern w:val="0"/>
                <w:sz w:val="24"/>
                <w:szCs w:val="24"/>
                <w:highlight w:val="none"/>
                <w:u w:val="none"/>
                <w:lang w:eastAsia="zh-CN"/>
              </w:rPr>
              <w:t>、</w:t>
            </w:r>
            <w:r>
              <w:rPr>
                <w:rFonts w:hint="eastAsia" w:ascii="宋体" w:hAnsi="宋体" w:eastAsia="宋体" w:cs="宋体"/>
                <w:color w:val="000000"/>
                <w:kern w:val="0"/>
                <w:sz w:val="24"/>
                <w:szCs w:val="24"/>
                <w:highlight w:val="none"/>
                <w:u w:val="none"/>
              </w:rPr>
              <w:t>交付等</w:t>
            </w:r>
            <w:r>
              <w:rPr>
                <w:rFonts w:hint="eastAsia" w:ascii="宋体" w:hAnsi="宋体" w:eastAsia="宋体"/>
                <w:color w:val="000000"/>
                <w:sz w:val="24"/>
                <w:szCs w:val="20"/>
                <w:highlight w:val="none"/>
                <w:u w:val="none"/>
              </w:rPr>
              <w:t>）</w:t>
            </w:r>
            <w:r>
              <w:rPr>
                <w:rFonts w:hint="eastAsia" w:ascii="宋体" w:hAnsi="宋体" w:eastAsia="宋体"/>
                <w:color w:val="000000"/>
                <w:sz w:val="24"/>
                <w:szCs w:val="20"/>
                <w:highlight w:val="none"/>
              </w:rPr>
              <w:t>情况，由</w:t>
            </w:r>
            <w:r>
              <w:rPr>
                <w:rFonts w:hint="eastAsia" w:ascii="宋体" w:hAnsi="宋体" w:eastAsia="宋体"/>
                <w:color w:val="000000"/>
                <w:sz w:val="24"/>
                <w:szCs w:val="20"/>
                <w:highlight w:val="none"/>
                <w:lang w:val="en-US" w:eastAsia="zh-CN"/>
              </w:rPr>
              <w:t>磋商小组</w:t>
            </w:r>
            <w:r>
              <w:rPr>
                <w:rFonts w:hint="eastAsia" w:ascii="宋体" w:hAnsi="宋体" w:eastAsia="宋体"/>
                <w:color w:val="000000"/>
                <w:sz w:val="24"/>
                <w:szCs w:val="20"/>
                <w:highlight w:val="none"/>
              </w:rPr>
              <w:t>进行综合评审：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aps/>
                <w:color w:val="000000"/>
                <w:sz w:val="24"/>
                <w:szCs w:val="24"/>
                <w:highlight w:val="none"/>
                <w:u w:val="none"/>
              </w:rPr>
            </w:pPr>
            <w:r>
              <w:rPr>
                <w:rFonts w:hint="eastAsia" w:ascii="宋体" w:hAnsi="宋体" w:eastAsia="宋体"/>
                <w:color w:val="000000"/>
                <w:sz w:val="24"/>
                <w:szCs w:val="20"/>
                <w:highlight w:val="none"/>
                <w:u w:val="none"/>
              </w:rPr>
              <w:t>1.方案合理可行，</w:t>
            </w:r>
            <w:r>
              <w:rPr>
                <w:rFonts w:hint="eastAsia" w:ascii="宋体" w:hAnsi="宋体" w:eastAsia="宋体" w:cs="宋体"/>
                <w:color w:val="000000"/>
                <w:kern w:val="0"/>
                <w:sz w:val="24"/>
                <w:szCs w:val="24"/>
                <w:highlight w:val="none"/>
                <w:u w:val="none"/>
              </w:rPr>
              <w:t>与本项目的具体特点和实际需要适应度高，利于项目实施的</w:t>
            </w:r>
            <w:r>
              <w:rPr>
                <w:rFonts w:hint="eastAsia" w:ascii="宋体" w:hAnsi="宋体" w:eastAsia="宋体" w:cs="宋体"/>
                <w:color w:val="000000"/>
                <w:sz w:val="24"/>
                <w:szCs w:val="24"/>
                <w:highlight w:val="none"/>
                <w:u w:val="none"/>
              </w:rPr>
              <w:t>，得10</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0"/>
                <w:highlight w:val="none"/>
                <w:u w:val="none"/>
              </w:rPr>
              <w:t>2</w:t>
            </w:r>
            <w:r>
              <w:rPr>
                <w:rFonts w:hint="eastAsia" w:ascii="宋体" w:hAnsi="宋体" w:eastAsia="宋体"/>
                <w:color w:val="000000"/>
                <w:sz w:val="24"/>
                <w:szCs w:val="20"/>
                <w:highlight w:val="none"/>
                <w:u w:val="none"/>
              </w:rPr>
              <w:t>.方案较为合理可行，</w:t>
            </w:r>
            <w:r>
              <w:rPr>
                <w:rFonts w:hint="eastAsia" w:ascii="宋体" w:hAnsi="宋体" w:eastAsia="宋体" w:cs="宋体"/>
                <w:color w:val="000000"/>
                <w:kern w:val="0"/>
                <w:sz w:val="24"/>
                <w:szCs w:val="24"/>
                <w:highlight w:val="none"/>
                <w:u w:val="none"/>
              </w:rPr>
              <w:t>与本项目的具体特点和实际需要适应度较高，能较好的保障项目实施的</w:t>
            </w:r>
            <w:r>
              <w:rPr>
                <w:rFonts w:hint="eastAsia" w:ascii="宋体" w:hAnsi="宋体" w:eastAsia="宋体" w:cs="宋体"/>
                <w:color w:val="000000"/>
                <w:sz w:val="24"/>
                <w:szCs w:val="24"/>
                <w:highlight w:val="none"/>
                <w:u w:val="none"/>
              </w:rPr>
              <w:t>，得8</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0"/>
                <w:highlight w:val="none"/>
                <w:u w:val="none"/>
              </w:rPr>
              <w:t>3</w:t>
            </w:r>
            <w:r>
              <w:rPr>
                <w:rFonts w:hint="eastAsia" w:ascii="宋体" w:hAnsi="宋体" w:eastAsia="宋体"/>
                <w:color w:val="000000"/>
                <w:sz w:val="24"/>
                <w:szCs w:val="20"/>
                <w:highlight w:val="none"/>
                <w:u w:val="none"/>
              </w:rPr>
              <w:t>.方案</w:t>
            </w:r>
            <w:r>
              <w:rPr>
                <w:rFonts w:hint="eastAsia" w:ascii="宋体" w:hAnsi="宋体" w:eastAsia="宋体" w:cs="宋体"/>
                <w:color w:val="000000"/>
                <w:kern w:val="0"/>
                <w:sz w:val="24"/>
                <w:szCs w:val="24"/>
                <w:highlight w:val="none"/>
                <w:u w:val="none"/>
              </w:rPr>
              <w:t>与本项目的具体特点以及项目实际需要适应度等基本能够满足项目实施的</w:t>
            </w:r>
            <w:r>
              <w:rPr>
                <w:rFonts w:hint="eastAsia" w:ascii="宋体" w:hAnsi="宋体" w:eastAsia="宋体" w:cs="宋体"/>
                <w:color w:val="000000"/>
                <w:sz w:val="24"/>
                <w:szCs w:val="24"/>
                <w:highlight w:val="none"/>
                <w:u w:val="none"/>
              </w:rPr>
              <w:t>，得6</w:t>
            </w:r>
            <w:r>
              <w:rPr>
                <w:rFonts w:hint="eastAsia" w:ascii="宋体" w:hAnsi="宋体" w:eastAsia="宋体"/>
                <w:color w:val="000000"/>
                <w:sz w:val="24"/>
                <w:szCs w:val="24"/>
                <w:highlight w:val="none"/>
                <w:u w:val="none"/>
              </w:rPr>
              <w:t>分</w:t>
            </w:r>
            <w:r>
              <w:rPr>
                <w:rFonts w:hint="eastAsia" w:ascii="宋体" w:hAnsi="宋体" w:eastAsia="宋体"/>
                <w:bCs/>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caps/>
                <w:color w:val="000000"/>
                <w:sz w:val="24"/>
                <w:szCs w:val="24"/>
                <w:highlight w:val="none"/>
              </w:rPr>
            </w:pPr>
            <w:r>
              <w:rPr>
                <w:rFonts w:hint="eastAsia" w:ascii="宋体" w:hAnsi="宋体" w:eastAsia="宋体"/>
                <w:bCs/>
                <w:caps/>
                <w:color w:val="000000"/>
                <w:sz w:val="24"/>
                <w:szCs w:val="24"/>
                <w:highlight w:val="none"/>
              </w:rPr>
              <w:t>4.</w:t>
            </w:r>
            <w:r>
              <w:rPr>
                <w:rFonts w:hint="eastAsia" w:ascii="宋体" w:hAnsi="宋体" w:eastAsia="宋体" w:cs="宋体"/>
                <w:color w:val="000000"/>
                <w:kern w:val="0"/>
                <w:sz w:val="24"/>
                <w:szCs w:val="24"/>
                <w:highlight w:val="none"/>
              </w:rPr>
              <w:t>未提供</w:t>
            </w:r>
            <w:r>
              <w:rPr>
                <w:rFonts w:hint="eastAsia" w:ascii="宋体" w:hAnsi="宋体" w:eastAsia="宋体" w:cs="宋体"/>
                <w:color w:val="000000"/>
                <w:kern w:val="0"/>
                <w:sz w:val="24"/>
                <w:szCs w:val="24"/>
                <w:highlight w:val="none"/>
                <w:lang w:val="en-US" w:eastAsia="zh-CN"/>
              </w:rPr>
              <w:t>或</w:t>
            </w:r>
            <w:r>
              <w:rPr>
                <w:rFonts w:hint="eastAsia" w:ascii="宋体" w:hAnsi="宋体" w:eastAsia="宋体" w:cs="宋体"/>
                <w:color w:val="000000"/>
                <w:kern w:val="0"/>
                <w:sz w:val="24"/>
                <w:szCs w:val="24"/>
                <w:highlight w:val="none"/>
              </w:rPr>
              <w:t>方案</w:t>
            </w:r>
            <w:r>
              <w:rPr>
                <w:rFonts w:hint="eastAsia" w:ascii="宋体" w:hAnsi="宋体" w:eastAsia="宋体" w:cs="宋体"/>
                <w:color w:val="000000"/>
                <w:kern w:val="0"/>
                <w:sz w:val="24"/>
                <w:szCs w:val="24"/>
                <w:highlight w:val="none"/>
                <w:lang w:val="en-US" w:eastAsia="zh-CN"/>
              </w:rPr>
              <w:t>不合理的</w:t>
            </w:r>
            <w:r>
              <w:rPr>
                <w:rFonts w:hint="eastAsia" w:ascii="宋体" w:hAnsi="宋体" w:eastAsia="宋体" w:cs="宋体"/>
                <w:color w:val="000000"/>
                <w:kern w:val="0"/>
                <w:sz w:val="24"/>
                <w:szCs w:val="24"/>
                <w:highlight w:val="none"/>
              </w:rPr>
              <w:t>不得分。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Cs/>
                <w:sz w:val="24"/>
                <w:highlight w:val="none"/>
                <w:lang w:val="en-US" w:eastAsia="zh-CN"/>
              </w:rPr>
            </w:pPr>
            <w:r>
              <w:rPr>
                <w:rFonts w:hint="eastAsia" w:ascii="宋体" w:hAnsi="宋体" w:eastAsia="宋体"/>
                <w:b/>
                <w:bCs/>
                <w:caps/>
                <w:color w:val="000000"/>
                <w:sz w:val="24"/>
                <w:szCs w:val="24"/>
                <w:highlight w:val="none"/>
              </w:rPr>
              <w:t>注：</w:t>
            </w:r>
            <w:r>
              <w:rPr>
                <w:rFonts w:ascii="宋体" w:hAnsi="宋体" w:eastAsia="宋体"/>
                <w:b/>
                <w:bCs/>
                <w:caps/>
                <w:color w:val="000000"/>
                <w:sz w:val="24"/>
                <w:szCs w:val="24"/>
                <w:highlight w:val="none"/>
              </w:rPr>
              <w:t>F为本项得分</w:t>
            </w:r>
            <w:r>
              <w:rPr>
                <w:rFonts w:hint="eastAsia" w:ascii="宋体" w:hAnsi="宋体" w:eastAsia="宋体"/>
                <w:b/>
                <w:bCs/>
                <w:caps/>
                <w:color w:val="000000"/>
                <w:sz w:val="24"/>
                <w:szCs w:val="24"/>
                <w:highlight w:val="none"/>
              </w:rPr>
              <w:t>。</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2"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eastAsia="zh-CN"/>
              </w:rPr>
            </w:pPr>
            <w:r>
              <w:rPr>
                <w:rFonts w:hint="eastAsia" w:ascii="宋体" w:hAnsi="宋体" w:eastAsia="宋体"/>
                <w:color w:val="000000"/>
                <w:sz w:val="24"/>
                <w:szCs w:val="24"/>
                <w:highlight w:val="none"/>
              </w:rPr>
              <w:t>售后服务</w:t>
            </w:r>
            <w:r>
              <w:rPr>
                <w:rFonts w:hint="eastAsia" w:ascii="宋体" w:hAnsi="宋体" w:eastAsia="宋体"/>
                <w:color w:val="000000"/>
                <w:sz w:val="24"/>
                <w:szCs w:val="24"/>
                <w:highlight w:val="none"/>
                <w:lang w:val="en-US" w:eastAsia="zh-CN"/>
              </w:rPr>
              <w:t>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仿宋_GB2312"/>
                <w:color w:val="000000"/>
                <w:kern w:val="0"/>
                <w:sz w:val="24"/>
                <w:szCs w:val="24"/>
                <w:highlight w:val="none"/>
              </w:rPr>
            </w:pPr>
            <w:r>
              <w:rPr>
                <w:rFonts w:hint="eastAsia" w:ascii="宋体" w:hAnsi="宋体" w:eastAsia="宋体" w:cs="仿宋_GB2312"/>
                <w:color w:val="000000"/>
                <w:kern w:val="0"/>
                <w:sz w:val="24"/>
                <w:szCs w:val="24"/>
                <w:highlight w:val="none"/>
              </w:rPr>
              <w:t>根据</w:t>
            </w:r>
            <w:r>
              <w:rPr>
                <w:rFonts w:hint="eastAsia" w:ascii="宋体" w:hAnsi="宋体" w:eastAsia="宋体" w:cs="仿宋_GB2312"/>
                <w:color w:val="000000"/>
                <w:kern w:val="0"/>
                <w:sz w:val="24"/>
                <w:szCs w:val="24"/>
                <w:highlight w:val="none"/>
                <w:lang w:eastAsia="zh-CN"/>
              </w:rPr>
              <w:t>供应商</w:t>
            </w:r>
            <w:r>
              <w:rPr>
                <w:rFonts w:hint="eastAsia" w:ascii="宋体" w:hAnsi="宋体" w:eastAsia="宋体" w:cs="仿宋_GB2312"/>
                <w:color w:val="000000"/>
                <w:kern w:val="0"/>
                <w:sz w:val="24"/>
                <w:szCs w:val="24"/>
                <w:highlight w:val="none"/>
              </w:rPr>
              <w:t>响应文件中提供的</w:t>
            </w:r>
            <w:r>
              <w:rPr>
                <w:rFonts w:hint="eastAsia" w:ascii="宋体" w:hAnsi="宋体" w:eastAsia="宋体"/>
                <w:color w:val="000000"/>
                <w:sz w:val="24"/>
                <w:szCs w:val="24"/>
                <w:highlight w:val="none"/>
              </w:rPr>
              <w:t>售后服务方案</w:t>
            </w:r>
            <w:r>
              <w:rPr>
                <w:rFonts w:hint="eastAsia" w:ascii="宋体" w:hAnsi="宋体" w:eastAsia="宋体"/>
                <w:color w:val="000000"/>
                <w:sz w:val="24"/>
                <w:szCs w:val="24"/>
                <w:highlight w:val="none"/>
                <w:lang w:eastAsia="zh-CN"/>
              </w:rPr>
              <w:t>（</w:t>
            </w:r>
            <w:r>
              <w:rPr>
                <w:rFonts w:hint="eastAsia" w:ascii="宋体" w:hAnsi="宋体" w:eastAsia="宋体"/>
                <w:color w:val="000000"/>
                <w:sz w:val="24"/>
                <w:szCs w:val="24"/>
                <w:highlight w:val="none"/>
                <w:lang w:val="en-US" w:eastAsia="zh-CN"/>
              </w:rPr>
              <w:t>包括服务响应时间、产品售后服务、产品质保等</w:t>
            </w:r>
            <w:r>
              <w:rPr>
                <w:rFonts w:hint="eastAsia" w:ascii="宋体" w:hAnsi="宋体" w:eastAsia="宋体"/>
                <w:color w:val="000000"/>
                <w:sz w:val="24"/>
                <w:szCs w:val="24"/>
                <w:highlight w:val="none"/>
                <w:lang w:eastAsia="zh-CN"/>
              </w:rPr>
              <w:t>）</w:t>
            </w:r>
            <w:r>
              <w:rPr>
                <w:rFonts w:hint="eastAsia" w:ascii="宋体" w:hAnsi="宋体" w:eastAsia="宋体" w:cs="仿宋_GB2312"/>
                <w:color w:val="000000"/>
                <w:kern w:val="0"/>
                <w:sz w:val="24"/>
                <w:szCs w:val="24"/>
                <w:highlight w:val="none"/>
              </w:rPr>
              <w:t>情况，由</w:t>
            </w:r>
            <w:r>
              <w:rPr>
                <w:rFonts w:hint="eastAsia" w:ascii="宋体" w:hAnsi="宋体" w:eastAsia="宋体"/>
                <w:color w:val="000000"/>
                <w:sz w:val="24"/>
                <w:szCs w:val="20"/>
                <w:highlight w:val="none"/>
                <w:lang w:val="en-US" w:eastAsia="zh-CN"/>
              </w:rPr>
              <w:t>磋商小组</w:t>
            </w:r>
            <w:r>
              <w:rPr>
                <w:rFonts w:hint="eastAsia" w:ascii="宋体" w:hAnsi="宋体" w:eastAsia="宋体" w:cs="仿宋_GB2312"/>
                <w:color w:val="000000"/>
                <w:kern w:val="0"/>
                <w:sz w:val="24"/>
                <w:szCs w:val="24"/>
                <w:highlight w:val="none"/>
              </w:rPr>
              <w:t>进行综合评审：</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000000"/>
                <w:kern w:val="0"/>
                <w:sz w:val="24"/>
                <w:szCs w:val="24"/>
                <w:highlight w:val="none"/>
                <w:u w:val="none"/>
              </w:rPr>
            </w:pPr>
            <w:r>
              <w:rPr>
                <w:rFonts w:hint="eastAsia" w:ascii="宋体" w:hAnsi="宋体" w:eastAsia="宋体"/>
                <w:color w:val="000000"/>
                <w:sz w:val="24"/>
                <w:szCs w:val="24"/>
                <w:highlight w:val="none"/>
                <w:u w:val="none"/>
              </w:rPr>
              <w:t>1.售后服务方案</w:t>
            </w:r>
            <w:r>
              <w:rPr>
                <w:rFonts w:hint="eastAsia" w:ascii="宋体" w:hAnsi="宋体" w:eastAsia="宋体" w:cs="宋体"/>
                <w:color w:val="000000"/>
                <w:kern w:val="0"/>
                <w:sz w:val="24"/>
                <w:szCs w:val="24"/>
                <w:highlight w:val="none"/>
                <w:u w:val="none"/>
              </w:rPr>
              <w:t>与本项目的具体特点和实际需要适应度高；提供切实可行的方案；利于项目实施的</w:t>
            </w:r>
            <w:r>
              <w:rPr>
                <w:rFonts w:hint="eastAsia" w:ascii="宋体" w:hAnsi="宋体" w:eastAsia="宋体" w:cs="宋体"/>
                <w:color w:val="000000"/>
                <w:sz w:val="24"/>
                <w:szCs w:val="24"/>
                <w:highlight w:val="none"/>
                <w:u w:val="none"/>
              </w:rPr>
              <w:t>，得10</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000000"/>
                <w:kern w:val="0"/>
                <w:sz w:val="24"/>
                <w:szCs w:val="24"/>
                <w:highlight w:val="none"/>
                <w:u w:val="none"/>
              </w:rPr>
            </w:pPr>
            <w:r>
              <w:rPr>
                <w:rFonts w:ascii="宋体" w:hAnsi="宋体" w:eastAsia="宋体"/>
                <w:color w:val="000000"/>
                <w:sz w:val="24"/>
                <w:szCs w:val="24"/>
                <w:highlight w:val="none"/>
              </w:rPr>
              <w:t>2</w:t>
            </w:r>
            <w:r>
              <w:rPr>
                <w:rFonts w:hint="eastAsia" w:ascii="宋体" w:hAnsi="宋体" w:eastAsia="宋体"/>
                <w:color w:val="000000"/>
                <w:sz w:val="24"/>
                <w:szCs w:val="24"/>
                <w:highlight w:val="none"/>
              </w:rPr>
              <w:t>.售后服务方</w:t>
            </w:r>
            <w:r>
              <w:rPr>
                <w:rFonts w:hint="eastAsia" w:ascii="宋体" w:hAnsi="宋体" w:eastAsia="宋体"/>
                <w:color w:val="000000"/>
                <w:sz w:val="24"/>
                <w:szCs w:val="24"/>
                <w:highlight w:val="none"/>
                <w:u w:val="none"/>
              </w:rPr>
              <w:t>案</w:t>
            </w:r>
            <w:r>
              <w:rPr>
                <w:rFonts w:hint="eastAsia" w:ascii="宋体" w:hAnsi="宋体" w:eastAsia="宋体" w:cs="宋体"/>
                <w:color w:val="000000"/>
                <w:kern w:val="0"/>
                <w:sz w:val="24"/>
                <w:szCs w:val="24"/>
                <w:highlight w:val="none"/>
                <w:u w:val="none"/>
              </w:rPr>
              <w:t>与本项目的具体特点和实际需要适应度较高；方案较为</w:t>
            </w:r>
            <w:r>
              <w:rPr>
                <w:rFonts w:ascii="宋体" w:hAnsi="宋体" w:eastAsia="宋体" w:cs="宋体"/>
                <w:color w:val="000000"/>
                <w:kern w:val="0"/>
                <w:sz w:val="24"/>
                <w:szCs w:val="24"/>
                <w:highlight w:val="none"/>
                <w:u w:val="none"/>
              </w:rPr>
              <w:t>笼统</w:t>
            </w:r>
            <w:r>
              <w:rPr>
                <w:rFonts w:hint="eastAsia" w:ascii="宋体" w:hAnsi="宋体" w:eastAsia="宋体" w:cs="宋体"/>
                <w:color w:val="000000"/>
                <w:kern w:val="0"/>
                <w:sz w:val="24"/>
                <w:szCs w:val="24"/>
                <w:highlight w:val="none"/>
                <w:u w:val="none"/>
              </w:rPr>
              <w:t>；能较好的保障项目实施的</w:t>
            </w:r>
            <w:r>
              <w:rPr>
                <w:rFonts w:hint="eastAsia" w:ascii="宋体" w:hAnsi="宋体" w:eastAsia="宋体" w:cs="宋体"/>
                <w:color w:val="000000"/>
                <w:sz w:val="24"/>
                <w:szCs w:val="24"/>
                <w:highlight w:val="none"/>
                <w:u w:val="none"/>
              </w:rPr>
              <w:t>，得</w:t>
            </w:r>
            <w:r>
              <w:rPr>
                <w:rFonts w:hint="eastAsia" w:ascii="宋体" w:hAnsi="宋体" w:eastAsia="宋体" w:cs="宋体"/>
                <w:color w:val="000000"/>
                <w:sz w:val="24"/>
                <w:szCs w:val="24"/>
                <w:highlight w:val="none"/>
                <w:u w:val="none"/>
                <w:lang w:val="en-US" w:eastAsia="zh-CN"/>
              </w:rPr>
              <w:t>8</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4"/>
                <w:highlight w:val="none"/>
                <w:u w:val="none"/>
              </w:rPr>
              <w:t>3</w:t>
            </w:r>
            <w:r>
              <w:rPr>
                <w:rFonts w:hint="eastAsia" w:ascii="宋体" w:hAnsi="宋体" w:eastAsia="宋体"/>
                <w:color w:val="000000"/>
                <w:sz w:val="24"/>
                <w:szCs w:val="24"/>
                <w:highlight w:val="none"/>
                <w:u w:val="none"/>
              </w:rPr>
              <w:t>.售后服务案</w:t>
            </w:r>
            <w:r>
              <w:rPr>
                <w:rFonts w:hint="eastAsia" w:ascii="宋体" w:hAnsi="宋体" w:eastAsia="宋体" w:cs="宋体"/>
                <w:color w:val="000000"/>
                <w:kern w:val="0"/>
                <w:sz w:val="24"/>
                <w:szCs w:val="24"/>
                <w:highlight w:val="none"/>
                <w:u w:val="none"/>
              </w:rPr>
              <w:t>基本能够满足项目实施的</w:t>
            </w:r>
            <w:r>
              <w:rPr>
                <w:rFonts w:hint="eastAsia" w:ascii="宋体" w:hAnsi="宋体" w:eastAsia="宋体" w:cs="宋体"/>
                <w:color w:val="000000"/>
                <w:sz w:val="24"/>
                <w:szCs w:val="24"/>
                <w:highlight w:val="none"/>
                <w:u w:val="none"/>
              </w:rPr>
              <w:t>，得6</w:t>
            </w:r>
            <w:r>
              <w:rPr>
                <w:rFonts w:hint="eastAsia" w:ascii="宋体" w:hAnsi="宋体" w:eastAsia="宋体"/>
                <w:color w:val="000000"/>
                <w:sz w:val="24"/>
                <w:szCs w:val="24"/>
                <w:highlight w:val="none"/>
                <w:u w:val="none"/>
              </w:rPr>
              <w:t>分</w:t>
            </w:r>
            <w:r>
              <w:rPr>
                <w:rFonts w:hint="eastAsia" w:ascii="宋体" w:hAnsi="宋体" w:eastAsia="宋体"/>
                <w:bCs/>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caps/>
                <w:color w:val="000000"/>
                <w:sz w:val="24"/>
                <w:szCs w:val="24"/>
                <w:highlight w:val="none"/>
              </w:rPr>
            </w:pPr>
            <w:r>
              <w:rPr>
                <w:rFonts w:hint="eastAsia" w:ascii="宋体" w:hAnsi="宋体" w:eastAsia="宋体"/>
                <w:bCs/>
                <w:caps/>
                <w:color w:val="000000"/>
                <w:sz w:val="24"/>
                <w:szCs w:val="24"/>
                <w:highlight w:val="none"/>
              </w:rPr>
              <w:t>4.</w:t>
            </w:r>
            <w:r>
              <w:rPr>
                <w:rFonts w:hint="eastAsia" w:ascii="宋体" w:hAnsi="宋体" w:eastAsia="宋体" w:cs="宋体"/>
                <w:color w:val="000000"/>
                <w:kern w:val="0"/>
                <w:sz w:val="24"/>
                <w:szCs w:val="24"/>
                <w:highlight w:val="none"/>
              </w:rPr>
              <w:t>未提供</w:t>
            </w:r>
            <w:r>
              <w:rPr>
                <w:rFonts w:hint="eastAsia" w:ascii="宋体" w:hAnsi="宋体" w:eastAsia="宋体" w:cs="宋体"/>
                <w:color w:val="000000"/>
                <w:kern w:val="0"/>
                <w:sz w:val="24"/>
                <w:szCs w:val="24"/>
                <w:highlight w:val="none"/>
                <w:lang w:val="en-US" w:eastAsia="zh-CN"/>
              </w:rPr>
              <w:t>或</w:t>
            </w:r>
            <w:r>
              <w:rPr>
                <w:rFonts w:hint="eastAsia" w:ascii="宋体" w:hAnsi="宋体" w:eastAsia="宋体" w:cs="宋体"/>
                <w:color w:val="000000"/>
                <w:kern w:val="0"/>
                <w:sz w:val="24"/>
                <w:szCs w:val="24"/>
                <w:highlight w:val="none"/>
              </w:rPr>
              <w:t>方案</w:t>
            </w:r>
            <w:r>
              <w:rPr>
                <w:rFonts w:hint="eastAsia" w:ascii="宋体" w:hAnsi="宋体" w:eastAsia="宋体" w:cs="宋体"/>
                <w:color w:val="000000"/>
                <w:kern w:val="0"/>
                <w:sz w:val="24"/>
                <w:szCs w:val="24"/>
                <w:highlight w:val="none"/>
                <w:lang w:val="en-US" w:eastAsia="zh-CN"/>
              </w:rPr>
              <w:t>不合理的</w:t>
            </w:r>
            <w:r>
              <w:rPr>
                <w:rFonts w:hint="eastAsia" w:ascii="宋体" w:hAnsi="宋体" w:eastAsia="宋体" w:cs="宋体"/>
                <w:color w:val="000000"/>
                <w:kern w:val="0"/>
                <w:sz w:val="24"/>
                <w:szCs w:val="24"/>
                <w:highlight w:val="none"/>
              </w:rPr>
              <w:t>不得分。</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highlight w:val="none"/>
              </w:rPr>
            </w:pPr>
            <w:r>
              <w:rPr>
                <w:rFonts w:hint="eastAsia" w:ascii="宋体" w:hAnsi="宋体" w:eastAsia="宋体"/>
                <w:b/>
                <w:bCs/>
                <w:caps/>
                <w:color w:val="000000"/>
                <w:sz w:val="24"/>
                <w:szCs w:val="24"/>
                <w:highlight w:val="none"/>
              </w:rPr>
              <w:t>注：</w:t>
            </w:r>
            <w:r>
              <w:rPr>
                <w:rFonts w:ascii="宋体" w:hAnsi="宋体" w:eastAsia="宋体"/>
                <w:b/>
                <w:bCs/>
                <w:caps/>
                <w:color w:val="000000"/>
                <w:sz w:val="24"/>
                <w:szCs w:val="24"/>
                <w:highlight w:val="none"/>
              </w:rPr>
              <w:t>F为本项得分</w:t>
            </w:r>
            <w:r>
              <w:rPr>
                <w:rFonts w:hint="eastAsia" w:ascii="宋体" w:hAnsi="宋体" w:eastAsia="宋体"/>
                <w:b/>
                <w:bCs/>
                <w:caps/>
                <w:color w:val="000000"/>
                <w:sz w:val="24"/>
                <w:szCs w:val="24"/>
                <w:highlight w:val="none"/>
              </w:rPr>
              <w:t>。</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highlight w:val="none"/>
                <w:lang w:val="en-US" w:eastAsia="zh-CN" w:bidi="ar-SA"/>
              </w:rPr>
            </w:pPr>
            <w:r>
              <w:rPr>
                <w:rFonts w:hint="eastAsia" w:asciiTheme="minorEastAsia" w:hAnsiTheme="minorEastAsia" w:eastAsiaTheme="minorEastAsia"/>
                <w:sz w:val="24"/>
                <w:highlight w:val="none"/>
                <w:lang w:val="en-US" w:eastAsia="zh-CN"/>
              </w:rPr>
              <w:t>供应商业绩</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自2019年1月1日以来(以合同签订时间为准)，</w:t>
            </w:r>
            <w:r>
              <w:rPr>
                <w:rFonts w:hint="eastAsia" w:asciiTheme="minorEastAsia" w:hAnsiTheme="minorEastAsia" w:eastAsiaTheme="minorEastAsia"/>
                <w:sz w:val="24"/>
                <w:lang w:val="en-US" w:eastAsia="zh-CN"/>
              </w:rPr>
              <w:t>供应商</w:t>
            </w:r>
            <w:r>
              <w:rPr>
                <w:rFonts w:hint="eastAsia" w:asciiTheme="minorEastAsia" w:hAnsiTheme="minorEastAsia" w:eastAsiaTheme="minorEastAsia"/>
                <w:sz w:val="24"/>
                <w:highlight w:val="none"/>
                <w:lang w:val="en-US" w:eastAsia="zh-CN"/>
              </w:rPr>
              <w:t xml:space="preserve">具有驾校考试设备供货及安装业绩的，每提供一个业绩得5分，满分25分。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highlight w:val="none"/>
                <w:lang w:val="en-US" w:eastAsia="zh-CN"/>
              </w:rPr>
            </w:pPr>
            <w:r>
              <w:rPr>
                <w:rFonts w:hint="eastAsia" w:asciiTheme="minorEastAsia" w:hAnsiTheme="minorEastAsia" w:eastAsiaTheme="minorEastAsia"/>
                <w:b/>
                <w:bCs/>
                <w:sz w:val="24"/>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highlight w:val="none"/>
                <w:lang w:val="en-US" w:eastAsia="zh-CN"/>
              </w:rPr>
            </w:pPr>
            <w:r>
              <w:rPr>
                <w:rFonts w:hint="eastAsia" w:asciiTheme="minorEastAsia" w:hAnsiTheme="minorEastAsia" w:eastAsiaTheme="minorEastAsia"/>
                <w:b/>
                <w:bCs/>
                <w:sz w:val="24"/>
                <w:highlight w:val="none"/>
                <w:lang w:val="en-US" w:eastAsia="zh-CN"/>
              </w:rPr>
              <w:t>(1)响应文件中须同时提供业绩合同扫描件或影印件，如合同无法体现供应商名称、签订时间、供货内容等评审因素的，须另外提供业主（或甲方）证明材料扫描件或影印件，否则不得分；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cs="@仿宋_GB2312" w:asciiTheme="minorEastAsia" w:hAnsiTheme="minorEastAsia" w:eastAsiaTheme="minorEastAsia"/>
                <w:kern w:val="2"/>
                <w:sz w:val="24"/>
                <w:highlight w:val="none"/>
                <w:lang w:val="en-US" w:eastAsia="zh-CN" w:bidi="ar-SA"/>
              </w:rPr>
            </w:pPr>
            <w:r>
              <w:rPr>
                <w:rFonts w:hint="eastAsia" w:asciiTheme="minorEastAsia" w:hAnsiTheme="minorEastAsia" w:eastAsiaTheme="minorEastAsia"/>
                <w:b/>
                <w:bCs/>
                <w:sz w:val="24"/>
                <w:highlight w:val="none"/>
                <w:lang w:val="en-US" w:eastAsia="zh-CN"/>
              </w:rPr>
              <w:t>(2)同一业绩不重复计分，同一项目不同年度的业绩合同仅计取一次，不累计得分；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highlight w:val="none"/>
                <w:lang w:val="en-US" w:eastAsia="zh-CN" w:bidi="ar-SA"/>
              </w:rPr>
            </w:pPr>
            <w:r>
              <w:rPr>
                <w:rFonts w:hint="eastAsia" w:asciiTheme="minorEastAsia" w:hAnsiTheme="minorEastAsia" w:eastAsiaTheme="minorEastAsia"/>
                <w:sz w:val="24"/>
                <w:highlight w:val="none"/>
                <w:lang w:val="en-US" w:eastAsia="zh-CN"/>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仿宋_GB2312"/>
                <w:bCs/>
                <w:kern w:val="2"/>
                <w:sz w:val="24"/>
                <w:szCs w:val="20"/>
                <w:highlight w:val="none"/>
                <w:lang w:val="en-US" w:eastAsia="zh-CN" w:bidi="ar-SA"/>
              </w:rPr>
            </w:pPr>
            <w:r>
              <w:rPr>
                <w:rFonts w:hint="eastAsia" w:ascii="宋体" w:hAnsi="宋体" w:eastAsia="宋体"/>
                <w:sz w:val="24"/>
                <w:szCs w:val="24"/>
                <w:highlight w:val="none"/>
              </w:rPr>
              <w:t>管理体系认证</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lang w:eastAsia="zh-CN"/>
              </w:rPr>
              <w:t>供应商</w:t>
            </w:r>
            <w:r>
              <w:rPr>
                <w:rFonts w:hint="eastAsia" w:asciiTheme="minorEastAsia" w:hAnsiTheme="minorEastAsia" w:eastAsiaTheme="minorEastAsia"/>
                <w:sz w:val="24"/>
                <w:lang w:val="en-US" w:eastAsia="zh-CN"/>
              </w:rPr>
              <w:t>或所投产品生产厂家</w:t>
            </w:r>
            <w:r>
              <w:rPr>
                <w:rFonts w:hint="eastAsia" w:ascii="宋体" w:hAnsi="宋体" w:eastAsia="宋体"/>
                <w:color w:val="000000"/>
                <w:sz w:val="24"/>
                <w:szCs w:val="24"/>
                <w:highlight w:val="none"/>
              </w:rPr>
              <w:t>具有经中国国家认证认可监督管理委员会认证机构颁发的有效的下列证书：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rPr>
              <w:t>1.</w:t>
            </w:r>
            <w:r>
              <w:rPr>
                <w:rFonts w:ascii="宋体" w:hAnsi="宋体" w:eastAsia="宋体"/>
                <w:color w:val="000000"/>
                <w:sz w:val="24"/>
                <w:szCs w:val="24"/>
                <w:highlight w:val="none"/>
              </w:rPr>
              <w:t>质量管理体系认证</w:t>
            </w:r>
            <w:r>
              <w:rPr>
                <w:rFonts w:hint="eastAsia" w:ascii="宋体" w:hAnsi="宋体" w:eastAsia="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ascii="宋体" w:hAnsi="宋体" w:eastAsia="宋体"/>
                <w:color w:val="000000"/>
                <w:sz w:val="24"/>
                <w:szCs w:val="24"/>
                <w:highlight w:val="none"/>
              </w:rPr>
              <w:t>环境管理体系认证</w:t>
            </w:r>
            <w:r>
              <w:rPr>
                <w:rFonts w:hint="eastAsia" w:ascii="宋体" w:hAnsi="宋体" w:eastAsia="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rPr>
              <w:t>3.职业健康安全管理体系证书</w:t>
            </w:r>
            <w:r>
              <w:rPr>
                <w:rFonts w:ascii="宋体" w:hAnsi="宋体" w:eastAsia="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u w:val="none"/>
              </w:rPr>
            </w:pPr>
            <w:r>
              <w:rPr>
                <w:rFonts w:hint="eastAsia" w:ascii="宋体" w:hAnsi="宋体" w:eastAsia="宋体"/>
                <w:color w:val="000000"/>
                <w:sz w:val="24"/>
                <w:szCs w:val="24"/>
                <w:highlight w:val="none"/>
                <w:u w:val="none"/>
              </w:rPr>
              <w:t>每提供1个得</w:t>
            </w:r>
            <w:r>
              <w:rPr>
                <w:rFonts w:hint="eastAsia" w:ascii="宋体" w:hAnsi="宋体" w:eastAsia="宋体"/>
                <w:color w:val="000000"/>
                <w:sz w:val="24"/>
                <w:szCs w:val="24"/>
                <w:highlight w:val="none"/>
                <w:u w:val="none"/>
                <w:lang w:val="en-US" w:eastAsia="zh-CN"/>
              </w:rPr>
              <w:t>5</w:t>
            </w:r>
            <w:r>
              <w:rPr>
                <w:rFonts w:hint="eastAsia" w:ascii="宋体" w:hAnsi="宋体" w:eastAsia="宋体"/>
                <w:color w:val="000000"/>
                <w:sz w:val="24"/>
                <w:szCs w:val="24"/>
                <w:highlight w:val="none"/>
                <w:u w:val="none"/>
              </w:rPr>
              <w:t>分，最高得</w:t>
            </w:r>
            <w:r>
              <w:rPr>
                <w:rFonts w:hint="eastAsia" w:ascii="宋体" w:hAnsi="宋体" w:eastAsia="宋体"/>
                <w:color w:val="000000"/>
                <w:sz w:val="24"/>
                <w:szCs w:val="24"/>
                <w:highlight w:val="none"/>
                <w:u w:val="none"/>
                <w:lang w:val="en-US" w:eastAsia="zh-CN"/>
              </w:rPr>
              <w:t>15</w:t>
            </w:r>
            <w:r>
              <w:rPr>
                <w:rFonts w:hint="eastAsia" w:ascii="宋体" w:hAnsi="宋体" w:eastAsia="宋体"/>
                <w:color w:val="00000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宋体" w:hAnsi="宋体" w:eastAsia="宋体" w:cs="@仿宋_GB2312"/>
                <w:b/>
                <w:color w:val="000000"/>
                <w:kern w:val="2"/>
                <w:sz w:val="24"/>
                <w:szCs w:val="24"/>
                <w:highlight w:val="none"/>
                <w:lang w:val="en-US" w:eastAsia="zh-CN" w:bidi="ar-SA"/>
              </w:rPr>
            </w:pPr>
            <w:r>
              <w:rPr>
                <w:rFonts w:hint="eastAsia" w:ascii="宋体" w:hAnsi="宋体" w:eastAsia="宋体"/>
                <w:b/>
                <w:color w:val="000000"/>
                <w:sz w:val="24"/>
                <w:szCs w:val="24"/>
                <w:highlight w:val="none"/>
              </w:rPr>
              <w:t>注：响应文件中同时提供认证证书扫描件及全国认证认可信息公共服务平台官网证书信息查询截图，未提供或提供不全不得分。</w:t>
            </w:r>
          </w:p>
        </w:tc>
        <w:tc>
          <w:tcPr>
            <w:tcW w:w="5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b w:val="0"/>
                <w:bCs w:val="0"/>
                <w:kern w:val="0"/>
                <w:sz w:val="24"/>
                <w:szCs w:val="24"/>
                <w:highlight w:val="none"/>
                <w:lang w:val="en-US" w:eastAsia="zh-CN" w:bidi="ar-SA"/>
              </w:rPr>
            </w:pPr>
            <w:r>
              <w:rPr>
                <w:rFonts w:hint="eastAsia" w:ascii="宋体" w:hAnsi="宋体" w:eastAsia="宋体"/>
                <w:sz w:val="24"/>
                <w:szCs w:val="24"/>
                <w:highlight w:val="none"/>
              </w:rPr>
              <w:t>0-</w:t>
            </w:r>
            <w:r>
              <w:rPr>
                <w:rFonts w:hint="eastAsia" w:ascii="宋体" w:hAnsi="宋体" w:eastAsia="宋体" w:cs="宋体"/>
                <w:sz w:val="24"/>
                <w:szCs w:val="24"/>
                <w:highlight w:val="none"/>
                <w:lang w:val="en-US" w:eastAsia="zh-CN"/>
              </w:rPr>
              <w:t>15</w:t>
            </w:r>
            <w:r>
              <w:rPr>
                <w:rFonts w:hint="eastAsia" w:ascii="宋体" w:hAnsi="宋体" w:eastAsia="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92"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40</w:t>
            </w:r>
            <w:r>
              <w:rPr>
                <w:rFonts w:hint="eastAsia" w:asciiTheme="minorEastAsia" w:hAnsiTheme="minorEastAsia" w:eastAsiaTheme="minorEastAsia"/>
                <w:sz w:val="24"/>
                <w:highlight w:val="none"/>
              </w:rPr>
              <w:t>分）</w:t>
            </w:r>
          </w:p>
        </w:tc>
        <w:tc>
          <w:tcPr>
            <w:tcW w:w="4307"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价格分统一采用低价优先法，即满足磋商文件要求且价格最低的最后报价为评标基准价，其价格分为满分</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40</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分。其他供应商的价格分统一按照下列公式计算：</w:t>
            </w:r>
          </w:p>
          <w:p>
            <w:pPr>
              <w:spacing w:line="240" w:lineRule="auto"/>
              <w:jc w:val="left"/>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最后报价得分＝（评标基准价/</w:t>
            </w:r>
            <w:r>
              <w:rPr>
                <w:rFonts w:hint="eastAsia" w:ascii="宋体" w:hAnsi="宋体" w:eastAsia="宋体"/>
                <w:sz w:val="24"/>
                <w:highlight w:val="none"/>
              </w:rPr>
              <w:t>最后</w:t>
            </w:r>
            <w:r>
              <w:rPr>
                <w:rFonts w:hint="eastAsia" w:asciiTheme="minorEastAsia" w:hAnsiTheme="minorEastAsia" w:eastAsiaTheme="minorEastAsia"/>
                <w:sz w:val="24"/>
                <w:highlight w:val="none"/>
              </w:rPr>
              <w:t>报价）×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40</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％×100</w:t>
            </w:r>
          </w:p>
        </w:tc>
      </w:tr>
    </w:tbl>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分值汇总</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（1）磋商小组各成员应当独立对每个有效响应的文件进行评价、打分，然后汇总每个供应商每项评分因素的得分</w:t>
      </w:r>
      <w:r>
        <w:rPr>
          <w:rFonts w:asciiTheme="minorEastAsia" w:hAnsiTheme="minorEastAsia" w:eastAsiaTheme="minorEastAsia"/>
          <w:sz w:val="24"/>
          <w:highlight w:val="none"/>
        </w:rPr>
        <w:t>，再</w:t>
      </w:r>
      <w:r>
        <w:rPr>
          <w:rFonts w:hint="eastAsia" w:asciiTheme="minorEastAsia" w:hAnsiTheme="minorEastAsia" w:eastAsiaTheme="minorEastAsia"/>
          <w:sz w:val="24"/>
          <w:highlight w:val="none"/>
        </w:rPr>
        <w:t>取各位评委评分之平均值，四舍五入保留至小数点后两位数，得到该供应商的技术资信分。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将每个</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的技术资信分加上根据上述标准计算出的价格分，即为该</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的综合总得分。</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6" w:name="_Toc26638974"/>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6"/>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合肥市</w:t>
      </w:r>
      <w:r>
        <w:rPr>
          <w:rFonts w:asciiTheme="minorEastAsia" w:hAnsiTheme="minorEastAsia" w:eastAsiaTheme="minorEastAsia"/>
          <w:b/>
          <w:sz w:val="32"/>
          <w:szCs w:val="32"/>
          <w:highlight w:val="none"/>
        </w:rPr>
        <w:t>政府采购合同</w:t>
      </w:r>
      <w:r>
        <w:rPr>
          <w:rFonts w:hint="eastAsia" w:asciiTheme="minorEastAsia" w:hAnsiTheme="minorEastAsia" w:eastAsiaTheme="minorEastAsia"/>
          <w:b/>
          <w:sz w:val="32"/>
          <w:szCs w:val="32"/>
          <w:highlight w:val="none"/>
        </w:rPr>
        <w:t>参考范本</w:t>
      </w: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（货物类）</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lang w:eastAsia="zh-CN"/>
        </w:rPr>
        <w:t>巢湖市金盾驾校全功能智能化考场设备采购及安装</w:t>
      </w:r>
      <w:r>
        <w:rPr>
          <w:rFonts w:hint="eastAsia" w:asciiTheme="minorEastAsia" w:hAnsiTheme="minorEastAsia" w:eastAsiaTheme="minorEastAsia"/>
          <w:i/>
          <w:iCs/>
          <w:sz w:val="24"/>
          <w:highlight w:val="none"/>
        </w:rPr>
        <w:t>（分包项目须填写完整的分包号及分包名称）</w:t>
      </w:r>
    </w:p>
    <w:p>
      <w:pPr>
        <w:spacing w:before="120" w:line="480" w:lineRule="auto"/>
        <w:ind w:left="96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项目编号：</w:t>
      </w:r>
      <w:r>
        <w:rPr>
          <w:rFonts w:hint="eastAsia" w:asciiTheme="minorEastAsia" w:hAnsiTheme="minorEastAsia" w:eastAsiaTheme="minorEastAsia"/>
          <w:sz w:val="24"/>
          <w:highlight w:val="none"/>
          <w:u w:val="single"/>
          <w:lang w:eastAsia="zh-CN"/>
        </w:rPr>
        <w:t>2024AHTS0013</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甲方（采购人）：</w:t>
      </w:r>
      <w:r>
        <w:rPr>
          <w:rFonts w:hint="eastAsia" w:asciiTheme="minorEastAsia" w:hAnsiTheme="minorEastAsia" w:eastAsiaTheme="minorEastAsia"/>
          <w:sz w:val="24"/>
          <w:highlight w:val="none"/>
          <w:u w:val="single"/>
        </w:rPr>
        <w:t xml:space="preserve">                              </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乙方（成交供应商）：</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eastAsia="zh-CN"/>
        </w:rPr>
        <w:t>巢湖市金盾机动车驾驶员培训学校有限公司</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lang w:eastAsia="zh-CN"/>
        </w:rPr>
        <w:t>安徽天顺工程造价咨询有限公司</w:t>
      </w:r>
      <w:r>
        <w:rPr>
          <w:rFonts w:hint="eastAsia" w:asciiTheme="minorEastAsia" w:hAnsiTheme="minorEastAsia" w:eastAsiaTheme="minorEastAsia"/>
          <w:sz w:val="24"/>
          <w:highlight w:val="none"/>
        </w:rPr>
        <w:t>组织的</w:t>
      </w:r>
      <w:r>
        <w:rPr>
          <w:rFonts w:hint="eastAsia" w:asciiTheme="minorEastAsia" w:hAnsiTheme="minorEastAsia" w:eastAsiaTheme="minorEastAsia"/>
          <w:sz w:val="24"/>
          <w:highlight w:val="none"/>
          <w:u w:val="single"/>
        </w:rPr>
        <w:t>竞争性磋商</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磋商小组</w:t>
      </w:r>
      <w:r>
        <w:rPr>
          <w:rFonts w:hint="eastAsia" w:asciiTheme="minorEastAsia" w:hAnsiTheme="minorEastAsia" w:eastAsiaTheme="minorEastAsia"/>
          <w:sz w:val="24"/>
          <w:highlight w:val="none"/>
        </w:rPr>
        <w:t>评定，</w:t>
      </w:r>
      <w:r>
        <w:rPr>
          <w:rFonts w:hint="eastAsia" w:asciiTheme="minorEastAsia" w:hAnsiTheme="minorEastAsia" w:eastAsiaTheme="minorEastAsia"/>
          <w:i/>
          <w:iCs/>
          <w:sz w:val="24"/>
          <w:highlight w:val="none"/>
          <w:u w:val="single"/>
        </w:rPr>
        <w:t>（成交供应商名称）</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以下简称：乙方</w:t>
      </w:r>
      <w:r>
        <w:rPr>
          <w:rFonts w:hint="eastAsia" w:asciiTheme="minorEastAsia" w:hAnsiTheme="minorEastAsia" w:eastAsiaTheme="minorEastAsia"/>
          <w:sz w:val="24"/>
          <w:highlight w:val="none"/>
        </w:rPr>
        <w:t>）为本项目成交供应商，现按照采购文件确定的事项签订本合同。</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highlight w:val="none"/>
          <w:lang w:val="zh-CN"/>
        </w:rPr>
      </w:pPr>
      <w:bookmarkStart w:id="7" w:name="_Toc24059"/>
      <w:bookmarkStart w:id="8" w:name="_Toc3029"/>
      <w:bookmarkStart w:id="9" w:name="_Toc2232"/>
      <w:r>
        <w:rPr>
          <w:rFonts w:hint="eastAsia" w:asciiTheme="minorEastAsia" w:hAnsiTheme="minorEastAsia" w:eastAsiaTheme="minorEastAsia"/>
          <w:b/>
          <w:bCs/>
          <w:sz w:val="24"/>
          <w:highlight w:val="none"/>
          <w:lang w:val="zh-CN"/>
        </w:rPr>
        <w:t>1.1</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合同组成部分</w:t>
      </w:r>
      <w:bookmarkEnd w:id="7"/>
      <w:bookmarkEnd w:id="8"/>
      <w:bookmarkEnd w:id="9"/>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1.1.1本合同及其补充合同、变更协议；</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1.1.2成交通知书；</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1.1.3响应文件（含澄清或者说明文件）；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1.1.4磋商文件（含澄清或者修改文件）；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1.1.5其他相关采购文件。</w:t>
      </w:r>
    </w:p>
    <w:p>
      <w:pPr>
        <w:spacing w:line="360" w:lineRule="auto"/>
        <w:ind w:firstLine="437"/>
        <w:outlineLvl w:val="3"/>
        <w:rPr>
          <w:rFonts w:asciiTheme="minorEastAsia" w:hAnsiTheme="minorEastAsia" w:eastAsiaTheme="minorEastAsia"/>
          <w:b/>
          <w:bCs/>
          <w:sz w:val="24"/>
          <w:highlight w:val="none"/>
          <w:lang w:val="zh-CN"/>
        </w:rPr>
      </w:pPr>
      <w:bookmarkStart w:id="10" w:name="_Toc27126"/>
      <w:bookmarkStart w:id="11" w:name="_Toc24300"/>
      <w:bookmarkStart w:id="12" w:name="_Toc21295"/>
      <w:r>
        <w:rPr>
          <w:rFonts w:hint="eastAsia" w:asciiTheme="minorEastAsia" w:hAnsiTheme="minorEastAsia" w:eastAsiaTheme="minorEastAsia"/>
          <w:b/>
          <w:bCs/>
          <w:sz w:val="24"/>
          <w:highlight w:val="none"/>
          <w:lang w:val="zh-CN"/>
        </w:rPr>
        <w:t>1.2</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货物</w:t>
      </w:r>
      <w:bookmarkEnd w:id="10"/>
      <w:bookmarkEnd w:id="11"/>
      <w:bookmarkEnd w:id="12"/>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序号</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货物名称</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规格型号</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单位</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数量</w:t>
            </w:r>
          </w:p>
        </w:tc>
        <w:tc>
          <w:tcPr>
            <w:tcW w:w="886"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bl>
    <w:p>
      <w:pPr>
        <w:spacing w:line="360" w:lineRule="auto"/>
        <w:ind w:firstLine="437"/>
        <w:outlineLvl w:val="3"/>
        <w:rPr>
          <w:rFonts w:asciiTheme="minorEastAsia" w:hAnsiTheme="minorEastAsia" w:eastAsiaTheme="minorEastAsia"/>
          <w:b/>
          <w:bCs/>
          <w:sz w:val="24"/>
          <w:highlight w:val="none"/>
          <w:lang w:val="zh-CN"/>
        </w:rPr>
      </w:pPr>
      <w:bookmarkStart w:id="13" w:name="_Toc21551"/>
      <w:bookmarkStart w:id="14" w:name="_Toc23292"/>
      <w:bookmarkStart w:id="15" w:name="_Toc2163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 xml:space="preserve">3 </w:t>
      </w:r>
      <w:r>
        <w:rPr>
          <w:rFonts w:hint="eastAsia" w:asciiTheme="minorEastAsia" w:hAnsiTheme="minorEastAsia" w:eastAsiaTheme="minorEastAsia"/>
          <w:b/>
          <w:bCs/>
          <w:sz w:val="24"/>
          <w:highlight w:val="none"/>
          <w:lang w:val="zh-CN"/>
        </w:rPr>
        <w:t>价款</w:t>
      </w:r>
      <w:bookmarkEnd w:id="13"/>
      <w:bookmarkEnd w:id="14"/>
      <w:bookmarkEnd w:id="15"/>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（大写：人民币</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序号</w:t>
            </w:r>
          </w:p>
        </w:tc>
        <w:tc>
          <w:tcPr>
            <w:tcW w:w="2532" w:type="pct"/>
            <w:vAlign w:val="center"/>
          </w:tcPr>
          <w:p>
            <w:pPr>
              <w:pStyle w:val="47"/>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1899" w:type="pct"/>
            <w:gridSpan w:val="2"/>
            <w:vAlign w:val="center"/>
          </w:tcPr>
          <w:p>
            <w:pPr>
              <w:pStyle w:val="47"/>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47"/>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bl>
    <w:p>
      <w:pPr>
        <w:spacing w:line="360" w:lineRule="auto"/>
        <w:ind w:firstLine="437"/>
        <w:outlineLvl w:val="3"/>
        <w:rPr>
          <w:rFonts w:asciiTheme="minorEastAsia" w:hAnsiTheme="minorEastAsia" w:eastAsiaTheme="minorEastAsia"/>
          <w:b/>
          <w:bCs/>
          <w:sz w:val="24"/>
          <w:highlight w:val="none"/>
          <w:lang w:val="zh-CN"/>
        </w:rPr>
      </w:pPr>
      <w:bookmarkStart w:id="16" w:name="_Toc10340"/>
      <w:bookmarkStart w:id="17" w:name="_Toc22618"/>
      <w:bookmarkStart w:id="18" w:name="_Toc1814"/>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4 付款方式和发票开具方式</w:t>
      </w:r>
      <w:bookmarkEnd w:id="16"/>
      <w:bookmarkEnd w:id="17"/>
      <w:bookmarkEnd w:id="18"/>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1.4.1</w:t>
      </w:r>
      <w:r>
        <w:rPr>
          <w:rFonts w:asciiTheme="minorEastAsia" w:hAnsiTheme="minorEastAsia" w:eastAsiaTheme="minorEastAsia"/>
          <w:sz w:val="24"/>
          <w:highlight w:val="none"/>
        </w:rPr>
        <w:t>付款方式：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1.4.2发票开具方式：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9" w:name="_Toc2846"/>
      <w:bookmarkStart w:id="20" w:name="_Toc19304"/>
      <w:bookmarkStart w:id="21" w:name="_Toc3207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5 货物交付期限</w:t>
      </w:r>
      <w:r>
        <w:rPr>
          <w:rFonts w:hint="eastAsia" w:asciiTheme="minorEastAsia" w:hAnsiTheme="minorEastAsia" w:eastAsiaTheme="minorEastAsia"/>
          <w:b/>
          <w:bCs/>
          <w:sz w:val="24"/>
          <w:highlight w:val="none"/>
          <w:lang w:val="zh-CN"/>
        </w:rPr>
        <w:t>、地点和方式</w:t>
      </w:r>
      <w:bookmarkEnd w:id="19"/>
      <w:bookmarkEnd w:id="20"/>
      <w:bookmarkEnd w:id="21"/>
    </w:p>
    <w:p>
      <w:pPr>
        <w:spacing w:line="360" w:lineRule="auto"/>
        <w:ind w:firstLine="435"/>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1.5.1交付期限</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1.5.2交付地点</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1.5.3交付方式：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22" w:name="_Toc27250"/>
      <w:bookmarkStart w:id="23" w:name="_Toc19554"/>
      <w:bookmarkStart w:id="24" w:name="_Toc21423"/>
      <w:r>
        <w:rPr>
          <w:rFonts w:hint="eastAsia" w:asciiTheme="minorEastAsia" w:hAnsiTheme="minorEastAsia" w:eastAsiaTheme="minorEastAsia"/>
          <w:b/>
          <w:bCs/>
          <w:sz w:val="24"/>
          <w:highlight w:val="none"/>
          <w:lang w:val="zh-CN"/>
        </w:rPr>
        <w:t>1.6 违约责任</w:t>
      </w:r>
      <w:bookmarkEnd w:id="22"/>
      <w:bookmarkEnd w:id="23"/>
      <w:bookmarkEnd w:id="2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1.6.1</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地点和方式交付货物，那么甲方可要求乙方支付违约金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违约金按每迟延交付货物一日的应交付而未交付货物价格的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迟延交付货物的违约金计算数额达到前述最高限额之日起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1.6.2</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Theme="minorEastAsia" w:hAnsiTheme="minorEastAsia" w:eastAsiaTheme="minorEastAsia"/>
          <w:b/>
          <w:bCs/>
          <w:sz w:val="24"/>
          <w:highlight w:val="none"/>
          <w:lang w:val="zh-CN"/>
        </w:rPr>
      </w:pPr>
      <w:bookmarkStart w:id="25" w:name="_Toc16021"/>
      <w:bookmarkStart w:id="26" w:name="_Toc28375"/>
      <w:bookmarkStart w:id="27" w:name="_Toc15583"/>
      <w:r>
        <w:rPr>
          <w:rFonts w:hint="eastAsia" w:asciiTheme="minorEastAsia" w:hAnsiTheme="minorEastAsia" w:eastAsiaTheme="minorEastAsia"/>
          <w:b/>
          <w:bCs/>
          <w:sz w:val="24"/>
          <w:highlight w:val="none"/>
          <w:lang w:val="zh-CN"/>
        </w:rPr>
        <w:t>1.7</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w:t>
      </w:r>
      <w:r>
        <w:rPr>
          <w:rFonts w:asciiTheme="minorEastAsia" w:hAnsiTheme="minorEastAsia" w:eastAsiaTheme="minorEastAsia"/>
          <w:b/>
          <w:bCs/>
          <w:sz w:val="24"/>
          <w:highlight w:val="none"/>
          <w:lang w:val="zh-CN"/>
        </w:rPr>
        <w:t>争议的解决</w:t>
      </w:r>
      <w:bookmarkEnd w:id="25"/>
      <w:bookmarkEnd w:id="26"/>
      <w:bookmarkEnd w:id="2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w:t>
      </w:r>
      <w:r>
        <w:rPr>
          <w:rFonts w:asciiTheme="minorEastAsia" w:hAnsiTheme="minorEastAsia" w:eastAsiaTheme="minorEastAsia"/>
          <w:sz w:val="24"/>
          <w:highlight w:val="none"/>
        </w:rPr>
        <w:t>同履行过程中发生的任何争议，双方当事人均可</w:t>
      </w:r>
      <w:r>
        <w:rPr>
          <w:rFonts w:hint="eastAsia" w:asciiTheme="minorEastAsia" w:hAnsiTheme="minorEastAsia" w:eastAsiaTheme="minorEastAsia"/>
          <w:sz w:val="24"/>
          <w:highlight w:val="none"/>
        </w:rPr>
        <w:t>通过和解或者调解解决；不愿和解、调解或者和解、调解不成的，可以选择下列第</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种方式解决：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1.7.1将争议提交</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仲裁委员会依申请仲裁时其现行有效的仲裁规则裁决；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1.7.2向</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人民法院起诉。</w:t>
      </w:r>
    </w:p>
    <w:p>
      <w:pPr>
        <w:spacing w:line="360" w:lineRule="auto"/>
        <w:ind w:firstLine="437"/>
        <w:outlineLvl w:val="3"/>
        <w:rPr>
          <w:rFonts w:asciiTheme="minorEastAsia" w:hAnsiTheme="minorEastAsia" w:eastAsiaTheme="minorEastAsia"/>
          <w:b/>
          <w:bCs/>
          <w:sz w:val="24"/>
          <w:highlight w:val="none"/>
          <w:lang w:val="zh-CN"/>
        </w:rPr>
      </w:pPr>
      <w:bookmarkStart w:id="28" w:name="_Toc11173"/>
      <w:bookmarkStart w:id="29" w:name="_Toc7245"/>
      <w:bookmarkStart w:id="30" w:name="_Toc15322"/>
      <w:r>
        <w:rPr>
          <w:rFonts w:hint="eastAsia" w:asciiTheme="minorEastAsia" w:hAnsiTheme="minorEastAsia" w:eastAsiaTheme="minorEastAsia"/>
          <w:b/>
          <w:bCs/>
          <w:sz w:val="24"/>
          <w:highlight w:val="none"/>
          <w:lang w:val="zh-CN"/>
        </w:rPr>
        <w:t>1.8</w:t>
      </w:r>
      <w:r>
        <w:rPr>
          <w:rFonts w:asciiTheme="minorEastAsia" w:hAnsiTheme="minorEastAsia" w:eastAsiaTheme="minorEastAsia"/>
          <w:b/>
          <w:bCs/>
          <w:sz w:val="24"/>
          <w:highlight w:val="none"/>
          <w:lang w:val="zh-CN"/>
        </w:rPr>
        <w:t xml:space="preserve"> 合同生效</w:t>
      </w:r>
      <w:bookmarkEnd w:id="28"/>
      <w:bookmarkEnd w:id="29"/>
      <w:bookmarkEnd w:id="30"/>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双方当事人盖章时</w:t>
      </w:r>
      <w:r>
        <w:rPr>
          <w:rFonts w:asciiTheme="minorEastAsia" w:hAnsiTheme="minorEastAsia" w:eastAsiaTheme="minorEastAsia"/>
          <w:sz w:val="24"/>
          <w:highlight w:val="none"/>
        </w:rPr>
        <w:t>生效。</w:t>
      </w: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 xml:space="preserve">甲 </w:t>
      </w:r>
      <w:r>
        <w:rPr>
          <w:rFonts w:asciiTheme="minorEastAsia" w:hAnsiTheme="minorEastAsia" w:eastAsiaTheme="minorEastAsia"/>
          <w:bCs/>
          <w:sz w:val="24"/>
          <w:highlight w:val="none"/>
          <w:lang w:val="zh-CN"/>
        </w:rPr>
        <w:t xml:space="preserve">   </w:t>
      </w:r>
      <w:r>
        <w:rPr>
          <w:rFonts w:hint="eastAsia" w:asciiTheme="minorEastAsia" w:hAnsiTheme="minorEastAsia" w:eastAsiaTheme="minorEastAsia"/>
          <w:bCs/>
          <w:sz w:val="24"/>
          <w:highlight w:val="none"/>
          <w:lang w:val="zh-CN"/>
        </w:rPr>
        <w:t>方：</w:t>
      </w:r>
      <w:r>
        <w:rPr>
          <w:rFonts w:hint="eastAsia" w:asciiTheme="minorEastAsia" w:hAnsiTheme="minorEastAsia" w:eastAsiaTheme="minorEastAsia"/>
          <w:bCs/>
          <w:sz w:val="24"/>
          <w:highlight w:val="none"/>
          <w:u w:val="single"/>
          <w:lang w:val="zh-CN"/>
        </w:rPr>
        <w:t xml:space="preserve">    （单位盖章）     </w:t>
      </w:r>
      <w:r>
        <w:rPr>
          <w:rFonts w:hint="eastAsia" w:asciiTheme="minorEastAsia" w:hAnsiTheme="minorEastAsia" w:eastAsiaTheme="minorEastAsia"/>
          <w:bCs/>
          <w:sz w:val="24"/>
          <w:highlight w:val="none"/>
          <w:lang w:val="zh-CN"/>
        </w:rPr>
        <w:t xml:space="preserve">          乙方：</w:t>
      </w:r>
      <w:r>
        <w:rPr>
          <w:rFonts w:hint="eastAsia" w:asciiTheme="minorEastAsia" w:hAnsiTheme="minorEastAsia" w:eastAsiaTheme="minorEastAsia"/>
          <w:bCs/>
          <w:sz w:val="24"/>
          <w:highlight w:val="none"/>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法定代表人                             </w:t>
      </w:r>
      <w:r>
        <w:rPr>
          <w:rFonts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lang w:val="zh-CN"/>
        </w:rPr>
        <w:t>法定代表人</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或授权代表（签字）：                      或授权代表（签字）：</w:t>
      </w:r>
    </w:p>
    <w:p>
      <w:pPr>
        <w:widowControl/>
        <w:spacing w:line="560" w:lineRule="exact"/>
        <w:jc w:val="left"/>
        <w:rPr>
          <w:rFonts w:asciiTheme="minorEastAsia" w:hAnsiTheme="minorEastAsia" w:eastAsiaTheme="minorEastAsia"/>
          <w:bCs/>
          <w:sz w:val="24"/>
          <w:highlight w:val="none"/>
        </w:rPr>
      </w:pPr>
      <w:bookmarkStart w:id="31" w:name="_Toc331685783"/>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               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31"/>
    </w:p>
    <w:p>
      <w:pPr>
        <w:spacing w:line="360" w:lineRule="auto"/>
        <w:ind w:firstLine="437"/>
        <w:outlineLvl w:val="3"/>
        <w:rPr>
          <w:rFonts w:asciiTheme="minorEastAsia" w:hAnsiTheme="minorEastAsia" w:eastAsiaTheme="minorEastAsia"/>
          <w:b/>
          <w:bCs/>
          <w:sz w:val="24"/>
          <w:highlight w:val="none"/>
          <w:lang w:val="zh-CN"/>
        </w:rPr>
      </w:pPr>
      <w:bookmarkStart w:id="32" w:name="_Ref467379094"/>
      <w:bookmarkStart w:id="33" w:name="_Ref467379195"/>
      <w:bookmarkStart w:id="34" w:name="_Ref467379225"/>
      <w:bookmarkStart w:id="35" w:name="_Ref467379214"/>
      <w:bookmarkStart w:id="36" w:name="_Toc19614"/>
      <w:bookmarkStart w:id="37" w:name="_Toc259093669"/>
      <w:bookmarkStart w:id="38" w:name="_Toc279701240"/>
      <w:bookmarkStart w:id="39" w:name="_Ref467378499"/>
      <w:bookmarkStart w:id="40" w:name="_Ref467378463"/>
      <w:bookmarkStart w:id="41" w:name="_Ref467379205"/>
      <w:bookmarkStart w:id="42" w:name="_Ref467379101"/>
      <w:bookmarkStart w:id="43" w:name="_Ref467378404"/>
      <w:bookmarkStart w:id="44" w:name="_Toc16917"/>
      <w:bookmarkStart w:id="45" w:name="_Toc487900349"/>
      <w:bookmarkStart w:id="46" w:name="_Ref467379109"/>
      <w:bookmarkStart w:id="47" w:name="_Toc28763"/>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 xml:space="preserve"> 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“合同”系指采购人和成交供应商签订的载明双方当事人所达成的协议，并包括所有的附件、附录和构成合同的其他文件。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1.2“合同价”系指根据合同约定，成交供应商在完全履行合同义务后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采购人应支付给成交供应商的价格。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1.3“货物”系指</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根据合同约定应向采购人交付的一切</w:t>
      </w:r>
      <w:r>
        <w:rPr>
          <w:rFonts w:hint="eastAsia" w:asciiTheme="minorEastAsia" w:hAnsiTheme="minorEastAsia" w:eastAsiaTheme="minorEastAsia"/>
          <w:sz w:val="24"/>
          <w:highlight w:val="none"/>
        </w:rPr>
        <w:t>各种形态和种类的物品，包括原材料、燃料、设备、</w:t>
      </w:r>
      <w:r>
        <w:rPr>
          <w:rFonts w:asciiTheme="minorEastAsia" w:hAnsiTheme="minorEastAsia" w:eastAsiaTheme="minorEastAsia"/>
          <w:sz w:val="24"/>
          <w:highlight w:val="none"/>
        </w:rPr>
        <w:t>机械、仪表、备件</w:t>
      </w:r>
      <w:r>
        <w:rPr>
          <w:rFonts w:hint="eastAsia" w:asciiTheme="minorEastAsia" w:hAnsiTheme="minorEastAsia" w:eastAsiaTheme="minorEastAsia"/>
          <w:sz w:val="24"/>
          <w:highlight w:val="none"/>
        </w:rPr>
        <w:t>、计算机软件、产品等</w:t>
      </w:r>
      <w:r>
        <w:rPr>
          <w:rFonts w:asciiTheme="minorEastAsia" w:hAnsiTheme="minorEastAsia" w:eastAsiaTheme="minorEastAsia"/>
          <w:sz w:val="24"/>
          <w:highlight w:val="none"/>
        </w:rPr>
        <w:t>，并包括工具、手册等其他相关资料。</w:t>
      </w:r>
    </w:p>
    <w:p>
      <w:pPr>
        <w:spacing w:line="360" w:lineRule="auto"/>
        <w:ind w:firstLine="435"/>
        <w:rPr>
          <w:rFonts w:asciiTheme="minorEastAsia" w:hAnsiTheme="minorEastAsia" w:eastAsiaTheme="minorEastAsia"/>
          <w:sz w:val="24"/>
          <w:highlight w:val="none"/>
        </w:rPr>
      </w:pPr>
      <w:bookmarkStart w:id="48"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签署合同的采购人</w:t>
      </w:r>
      <w:bookmarkEnd w:id="48"/>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highlight w:val="none"/>
        </w:rPr>
      </w:pPr>
      <w:bookmarkStart w:id="49"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“乙方”系指根据合同约定交付货物的成交供应商</w:t>
      </w:r>
      <w:bookmarkEnd w:id="49"/>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highlight w:val="none"/>
        </w:rPr>
      </w:pPr>
      <w:bookmarkStart w:id="50"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“现场”系指合同约定货物将要运至</w:t>
      </w:r>
      <w:r>
        <w:rPr>
          <w:rFonts w:hint="eastAsia" w:asciiTheme="minorEastAsia" w:hAnsiTheme="minorEastAsia" w:eastAsiaTheme="minorEastAsia"/>
          <w:sz w:val="24"/>
          <w:highlight w:val="none"/>
        </w:rPr>
        <w:t>或者</w:t>
      </w:r>
      <w:r>
        <w:rPr>
          <w:rFonts w:asciiTheme="minorEastAsia" w:hAnsiTheme="minorEastAsia" w:eastAsiaTheme="minorEastAsia"/>
          <w:sz w:val="24"/>
          <w:highlight w:val="none"/>
        </w:rPr>
        <w:t>安装的地点。</w:t>
      </w:r>
      <w:bookmarkEnd w:id="50"/>
    </w:p>
    <w:p>
      <w:pPr>
        <w:spacing w:line="360" w:lineRule="auto"/>
        <w:ind w:firstLine="437"/>
        <w:outlineLvl w:val="3"/>
        <w:rPr>
          <w:rFonts w:asciiTheme="minorEastAsia" w:hAnsiTheme="minorEastAsia" w:eastAsiaTheme="minorEastAsia"/>
          <w:b/>
          <w:bCs/>
          <w:sz w:val="24"/>
          <w:highlight w:val="none"/>
          <w:lang w:val="zh-CN"/>
        </w:rPr>
      </w:pPr>
      <w:bookmarkStart w:id="51" w:name="_Toc32504"/>
      <w:bookmarkStart w:id="52" w:name="_Toc279701241"/>
      <w:bookmarkStart w:id="53" w:name="_Toc27635"/>
      <w:bookmarkStart w:id="54" w:name="_Toc259093670"/>
      <w:bookmarkStart w:id="55" w:name="_Toc13336"/>
      <w:bookmarkStart w:id="56" w:name="_Toc487900350"/>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2 技术规范</w:t>
      </w:r>
      <w:bookmarkEnd w:id="51"/>
      <w:bookmarkEnd w:id="52"/>
      <w:bookmarkEnd w:id="53"/>
      <w:bookmarkEnd w:id="54"/>
      <w:bookmarkEnd w:id="55"/>
      <w:bookmarkEnd w:id="5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360" w:lineRule="auto"/>
        <w:ind w:firstLine="437"/>
        <w:outlineLvl w:val="3"/>
        <w:rPr>
          <w:rFonts w:asciiTheme="minorEastAsia" w:hAnsiTheme="minorEastAsia" w:eastAsiaTheme="minorEastAsia"/>
          <w:b/>
          <w:bCs/>
          <w:sz w:val="24"/>
          <w:highlight w:val="none"/>
          <w:lang w:val="zh-CN"/>
        </w:rPr>
      </w:pPr>
      <w:bookmarkStart w:id="57" w:name="_Toc279701242"/>
      <w:bookmarkStart w:id="58" w:name="_Toc27853"/>
      <w:bookmarkStart w:id="59" w:name="_Toc259093671"/>
      <w:bookmarkStart w:id="60" w:name="_Toc9829"/>
      <w:bookmarkStart w:id="61" w:name="_Toc487900351"/>
      <w:bookmarkStart w:id="62" w:name="_Toc31634"/>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3 知识产权</w:t>
      </w:r>
      <w:bookmarkEnd w:id="57"/>
      <w:bookmarkEnd w:id="58"/>
      <w:bookmarkEnd w:id="59"/>
      <w:bookmarkEnd w:id="60"/>
      <w:bookmarkEnd w:id="61"/>
      <w:bookmarkEnd w:id="6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2.3.1乙</w:t>
      </w:r>
      <w:r>
        <w:rPr>
          <w:rFonts w:asciiTheme="minorEastAsia" w:hAnsiTheme="minorEastAsia" w:eastAsiaTheme="minorEastAsia"/>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2.3.2具有知识产权的计算机软件等货物的知识产权归属，</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63" w:name="_Toc4194"/>
      <w:bookmarkStart w:id="64" w:name="_Toc29149"/>
      <w:bookmarkStart w:id="65" w:name="_Toc11932"/>
      <w:r>
        <w:rPr>
          <w:rFonts w:hint="eastAsia" w:asciiTheme="minorEastAsia" w:hAnsiTheme="minorEastAsia" w:eastAsiaTheme="minorEastAsia"/>
          <w:b/>
          <w:bCs/>
          <w:sz w:val="24"/>
          <w:highlight w:val="none"/>
          <w:lang w:val="zh-CN"/>
        </w:rPr>
        <w:t>2.4</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包装和装运</w:t>
      </w:r>
      <w:bookmarkEnd w:id="63"/>
      <w:bookmarkEnd w:id="64"/>
      <w:bookmarkEnd w:id="65"/>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2.4.1除</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2.4.2装运货物的要求和通知，详见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66" w:name="_Ref467379536"/>
      <w:bookmarkStart w:id="67" w:name="_Toc279701245"/>
      <w:bookmarkStart w:id="68" w:name="_Toc259093674"/>
      <w:bookmarkStart w:id="69" w:name="_Ref467378541"/>
      <w:bookmarkStart w:id="70" w:name="_Ref467379542"/>
      <w:bookmarkStart w:id="71" w:name="_Ref467379527"/>
      <w:bookmarkStart w:id="72" w:name="_Ref467378591"/>
      <w:bookmarkStart w:id="73" w:name="_Toc487900354"/>
      <w:bookmarkStart w:id="74" w:name="_Toc30272"/>
      <w:bookmarkStart w:id="75" w:name="_Toc26182"/>
      <w:bookmarkStart w:id="76" w:name="_Toc19074"/>
      <w:r>
        <w:rPr>
          <w:rFonts w:hint="eastAsia" w:asciiTheme="minorEastAsia" w:hAnsiTheme="minorEastAsia" w:eastAsiaTheme="minorEastAsia"/>
          <w:b/>
          <w:bCs/>
          <w:sz w:val="24"/>
          <w:highlight w:val="none"/>
          <w:lang w:val="zh-CN"/>
        </w:rPr>
        <w:t>2.</w:t>
      </w:r>
      <w:bookmarkEnd w:id="66"/>
      <w:bookmarkEnd w:id="67"/>
      <w:bookmarkEnd w:id="68"/>
      <w:bookmarkEnd w:id="69"/>
      <w:bookmarkEnd w:id="70"/>
      <w:bookmarkEnd w:id="71"/>
      <w:bookmarkEnd w:id="72"/>
      <w:bookmarkEnd w:id="73"/>
      <w:r>
        <w:rPr>
          <w:rFonts w:hint="eastAsia" w:asciiTheme="minorEastAsia" w:hAnsiTheme="minorEastAsia" w:eastAsiaTheme="minorEastAsia"/>
          <w:b/>
          <w:bCs/>
          <w:sz w:val="24"/>
          <w:highlight w:val="none"/>
          <w:lang w:val="zh-CN"/>
        </w:rPr>
        <w:t>5</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履约检查和问题反馈</w:t>
      </w:r>
      <w:bookmarkEnd w:id="74"/>
      <w:bookmarkEnd w:id="75"/>
      <w:bookmarkEnd w:id="76"/>
    </w:p>
    <w:p>
      <w:pPr>
        <w:spacing w:line="360" w:lineRule="auto"/>
        <w:ind w:firstLine="435"/>
        <w:rPr>
          <w:rFonts w:asciiTheme="minorEastAsia" w:hAnsiTheme="minorEastAsia" w:eastAsiaTheme="minorEastAsia"/>
          <w:sz w:val="24"/>
          <w:highlight w:val="none"/>
        </w:rPr>
      </w:pPr>
      <w:bookmarkStart w:id="77" w:name="_Ref467379657"/>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bookmarkEnd w:id="77"/>
      <w:bookmarkStart w:id="78" w:name="_Toc186431854"/>
      <w:bookmarkStart w:id="79" w:name="_Toc487900357"/>
      <w:bookmarkStart w:id="80" w:name="_Ref467379793"/>
      <w:bookmarkStart w:id="81" w:name="_Ref467379807"/>
      <w:bookmarkStart w:id="82" w:name="_Toc259093676"/>
      <w:bookmarkStart w:id="83" w:name="_Toc27970124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2.5.2合同履行期间，甲方有权将履行过程中出现的问题反馈给乙方，双方当事人应以书面形式约定需要完善和改进的内容</w:t>
      </w:r>
      <w:bookmarkEnd w:id="78"/>
      <w:bookmarkStart w:id="84" w:name="_Toc186431855"/>
      <w:r>
        <w:rPr>
          <w:rFonts w:hint="eastAsia" w:asciiTheme="minorEastAsia" w:hAnsiTheme="minorEastAsia" w:eastAsiaTheme="minorEastAsia"/>
          <w:sz w:val="24"/>
          <w:highlight w:val="none"/>
        </w:rPr>
        <w:t>。</w:t>
      </w:r>
    </w:p>
    <w:bookmarkEnd w:id="84"/>
    <w:p>
      <w:pPr>
        <w:spacing w:line="360" w:lineRule="auto"/>
        <w:ind w:firstLine="437"/>
        <w:outlineLvl w:val="3"/>
        <w:rPr>
          <w:rFonts w:asciiTheme="minorEastAsia" w:hAnsiTheme="minorEastAsia" w:eastAsiaTheme="minorEastAsia"/>
          <w:b/>
          <w:bCs/>
          <w:sz w:val="24"/>
          <w:highlight w:val="none"/>
          <w:lang w:val="zh-CN"/>
        </w:rPr>
      </w:pPr>
      <w:bookmarkStart w:id="85" w:name="_Toc7836"/>
      <w:bookmarkStart w:id="86" w:name="_Toc19219"/>
      <w:bookmarkStart w:id="87" w:name="_Toc28451"/>
      <w:r>
        <w:rPr>
          <w:rFonts w:hint="eastAsia" w:asciiTheme="minorEastAsia" w:hAnsiTheme="minorEastAsia" w:eastAsiaTheme="minorEastAsia"/>
          <w:b/>
          <w:bCs/>
          <w:sz w:val="24"/>
          <w:highlight w:val="none"/>
          <w:lang w:val="zh-CN"/>
        </w:rPr>
        <w:t xml:space="preserve">2.6 </w:t>
      </w:r>
      <w:r>
        <w:rPr>
          <w:rFonts w:asciiTheme="minorEastAsia" w:hAnsiTheme="minorEastAsia" w:eastAsiaTheme="minorEastAsia"/>
          <w:b/>
          <w:bCs/>
          <w:sz w:val="24"/>
          <w:highlight w:val="none"/>
          <w:lang w:val="zh-CN"/>
        </w:rPr>
        <w:t>结算方式和付款条件</w:t>
      </w:r>
      <w:bookmarkEnd w:id="79"/>
      <w:bookmarkEnd w:id="80"/>
      <w:bookmarkEnd w:id="81"/>
      <w:bookmarkEnd w:id="82"/>
      <w:bookmarkEnd w:id="83"/>
      <w:bookmarkEnd w:id="85"/>
      <w:bookmarkEnd w:id="86"/>
      <w:bookmarkEnd w:id="87"/>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88" w:name="_Ref467379852"/>
      <w:bookmarkStart w:id="89" w:name="_Toc259093677"/>
      <w:bookmarkStart w:id="90" w:name="_Toc487900358"/>
      <w:bookmarkStart w:id="91" w:name="_Toc279701248"/>
      <w:bookmarkStart w:id="92" w:name="_Ref467379863"/>
      <w:bookmarkStart w:id="93" w:name="_Ref467379923"/>
      <w:bookmarkStart w:id="94" w:name="_Toc3225"/>
      <w:bookmarkStart w:id="95" w:name="_Toc16110"/>
      <w:bookmarkStart w:id="96" w:name="_Toc774"/>
      <w:r>
        <w:rPr>
          <w:rFonts w:hint="eastAsia" w:asciiTheme="minorEastAsia" w:hAnsiTheme="minorEastAsia" w:eastAsiaTheme="minorEastAsia"/>
          <w:b/>
          <w:bCs/>
          <w:sz w:val="24"/>
          <w:highlight w:val="none"/>
          <w:lang w:val="zh-CN"/>
        </w:rPr>
        <w:t xml:space="preserve">2.7 </w:t>
      </w:r>
      <w:r>
        <w:rPr>
          <w:rFonts w:asciiTheme="minorEastAsia" w:hAnsiTheme="minorEastAsia" w:eastAsiaTheme="minorEastAsia"/>
          <w:b/>
          <w:bCs/>
          <w:sz w:val="24"/>
          <w:highlight w:val="none"/>
          <w:lang w:val="zh-CN"/>
        </w:rPr>
        <w:t>技术资料</w:t>
      </w:r>
      <w:bookmarkEnd w:id="88"/>
      <w:bookmarkEnd w:id="89"/>
      <w:bookmarkEnd w:id="90"/>
      <w:bookmarkEnd w:id="91"/>
      <w:bookmarkEnd w:id="92"/>
      <w:bookmarkEnd w:id="93"/>
      <w:r>
        <w:rPr>
          <w:rFonts w:asciiTheme="minorEastAsia" w:hAnsiTheme="minorEastAsia" w:eastAsiaTheme="minorEastAsia"/>
          <w:b/>
          <w:bCs/>
          <w:sz w:val="24"/>
          <w:highlight w:val="none"/>
          <w:lang w:val="zh-CN"/>
        </w:rPr>
        <w:t>和保密义务</w:t>
      </w:r>
      <w:bookmarkEnd w:id="94"/>
      <w:bookmarkEnd w:id="95"/>
      <w:bookmarkEnd w:id="9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highlight w:val="none"/>
          <w:lang w:val="zh-CN"/>
        </w:rPr>
      </w:pPr>
      <w:bookmarkStart w:id="97" w:name="_Toc7860"/>
      <w:r>
        <w:rPr>
          <w:rFonts w:asciiTheme="minorEastAsia" w:hAnsiTheme="minorEastAsia" w:eastAsiaTheme="minorEastAsia"/>
          <w:b/>
          <w:bCs/>
          <w:sz w:val="24"/>
          <w:highlight w:val="none"/>
          <w:lang w:val="zh-CN"/>
        </w:rPr>
        <w:t>2.8 质量保证</w:t>
      </w:r>
      <w:bookmarkEnd w:id="9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highlight w:val="none"/>
          <w:lang w:val="zh-CN"/>
        </w:rPr>
      </w:pPr>
      <w:bookmarkStart w:id="98" w:name="_Toc17244"/>
      <w:bookmarkStart w:id="99" w:name="_Toc487900362"/>
      <w:bookmarkStart w:id="100" w:name="_Toc279701252"/>
      <w:bookmarkStart w:id="101" w:name="_Toc259093681"/>
      <w:r>
        <w:rPr>
          <w:rFonts w:asciiTheme="minorEastAsia" w:hAnsiTheme="minorEastAsia" w:eastAsiaTheme="minorEastAsia"/>
          <w:b/>
          <w:bCs/>
          <w:sz w:val="24"/>
          <w:highlight w:val="none"/>
          <w:lang w:val="zh-CN"/>
        </w:rPr>
        <w:t>2.9 货物的风险负担</w:t>
      </w:r>
      <w:bookmarkEnd w:id="98"/>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货物或者在途货物或者交付给第一承运人后的货物毁损、灭失的风险负担</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02" w:name="_Toc14055"/>
      <w:r>
        <w:rPr>
          <w:rFonts w:asciiTheme="minorEastAsia" w:hAnsiTheme="minorEastAsia" w:eastAsiaTheme="minorEastAsia"/>
          <w:b/>
          <w:bCs/>
          <w:sz w:val="24"/>
          <w:highlight w:val="none"/>
          <w:lang w:val="zh-CN"/>
        </w:rPr>
        <w:t>2.10 延迟交货</w:t>
      </w:r>
      <w:bookmarkEnd w:id="99"/>
      <w:bookmarkEnd w:id="100"/>
      <w:bookmarkEnd w:id="101"/>
      <w:bookmarkEnd w:id="10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在合同履行过程中，如果乙方遇到不能按时交付货物的情况，应及时以书面形式将不能按时</w:t>
      </w:r>
      <w:r>
        <w:rPr>
          <w:rFonts w:hint="eastAsia" w:asciiTheme="minorEastAsia" w:hAnsiTheme="minorEastAsia" w:eastAsiaTheme="minorEastAsia"/>
          <w:sz w:val="24"/>
          <w:highlight w:val="none"/>
        </w:rPr>
        <w:t>交付货物</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highlight w:val="none"/>
          <w:lang w:val="zh-CN"/>
        </w:rPr>
      </w:pPr>
      <w:bookmarkStart w:id="103" w:name="_Toc7502"/>
      <w:bookmarkStart w:id="104" w:name="_Toc259093683"/>
      <w:bookmarkStart w:id="105" w:name="_Toc279701254"/>
      <w:bookmarkStart w:id="106" w:name="_Toc487900364"/>
      <w:bookmarkStart w:id="107" w:name="_Ref467378121"/>
      <w:r>
        <w:rPr>
          <w:rFonts w:asciiTheme="minorEastAsia" w:hAnsiTheme="minorEastAsia" w:eastAsiaTheme="minorEastAsia"/>
          <w:b/>
          <w:bCs/>
          <w:sz w:val="24"/>
          <w:highlight w:val="none"/>
          <w:lang w:val="zh-CN"/>
        </w:rPr>
        <w:t>2.11 合同变更</w:t>
      </w:r>
      <w:bookmarkEnd w:id="10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2.11.2合同继续履行将损害国家利益和社会公共利益的，双方当事人应当以书面形式变更合同。有过错的一方应当承担赔偿责任，双方当事人都有过错的，各自承担相应的责任。</w:t>
      </w:r>
      <w:bookmarkStart w:id="108" w:name="_Toc487900369"/>
      <w:bookmarkStart w:id="109" w:name="_Toc279701259"/>
      <w:bookmarkStart w:id="110" w:name="_Toc259093688"/>
    </w:p>
    <w:p>
      <w:pPr>
        <w:spacing w:line="360" w:lineRule="auto"/>
        <w:ind w:firstLine="437"/>
        <w:outlineLvl w:val="3"/>
        <w:rPr>
          <w:rFonts w:asciiTheme="minorEastAsia" w:hAnsiTheme="minorEastAsia" w:eastAsiaTheme="minorEastAsia"/>
          <w:b/>
          <w:bCs/>
          <w:sz w:val="24"/>
          <w:highlight w:val="none"/>
          <w:lang w:val="zh-CN"/>
        </w:rPr>
      </w:pPr>
      <w:bookmarkStart w:id="111" w:name="_Toc10366"/>
      <w:bookmarkStart w:id="112" w:name="_Toc15237"/>
      <w:bookmarkStart w:id="113" w:name="_Toc22955"/>
      <w:r>
        <w:rPr>
          <w:rFonts w:hint="eastAsia" w:asciiTheme="minorEastAsia" w:hAnsiTheme="minorEastAsia" w:eastAsiaTheme="minorEastAsia"/>
          <w:b/>
          <w:bCs/>
          <w:sz w:val="24"/>
          <w:highlight w:val="none"/>
          <w:lang w:val="zh-CN"/>
        </w:rPr>
        <w:t xml:space="preserve">2.12 </w:t>
      </w:r>
      <w:r>
        <w:rPr>
          <w:rFonts w:asciiTheme="minorEastAsia" w:hAnsiTheme="minorEastAsia" w:eastAsiaTheme="minorEastAsia"/>
          <w:b/>
          <w:bCs/>
          <w:sz w:val="24"/>
          <w:highlight w:val="none"/>
          <w:lang w:val="zh-CN"/>
        </w:rPr>
        <w:t>合同转让</w:t>
      </w:r>
      <w:bookmarkEnd w:id="108"/>
      <w:bookmarkEnd w:id="109"/>
      <w:bookmarkEnd w:id="110"/>
      <w:r>
        <w:rPr>
          <w:rFonts w:asciiTheme="minorEastAsia" w:hAnsiTheme="minorEastAsia" w:eastAsiaTheme="minorEastAsia"/>
          <w:b/>
          <w:bCs/>
          <w:sz w:val="24"/>
          <w:highlight w:val="none"/>
          <w:lang w:val="zh-CN"/>
        </w:rPr>
        <w:t>和分包</w:t>
      </w:r>
      <w:bookmarkEnd w:id="111"/>
      <w:bookmarkEnd w:id="112"/>
      <w:bookmarkEnd w:id="11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sz w:val="24"/>
          <w:highlight w:val="none"/>
          <w:lang w:val="zh-CN"/>
        </w:rPr>
      </w:pPr>
      <w:bookmarkStart w:id="114" w:name="_Toc14066"/>
      <w:bookmarkStart w:id="115" w:name="_Toc13566"/>
      <w:bookmarkStart w:id="116" w:name="_Toc16508"/>
      <w:r>
        <w:rPr>
          <w:rFonts w:hint="eastAsia" w:asciiTheme="minorEastAsia" w:hAnsiTheme="minorEastAsia" w:eastAsiaTheme="minorEastAsia"/>
          <w:b/>
          <w:bCs/>
          <w:sz w:val="24"/>
          <w:highlight w:val="none"/>
          <w:lang w:val="zh-CN"/>
        </w:rPr>
        <w:t>2.13</w:t>
      </w:r>
      <w:r>
        <w:rPr>
          <w:rFonts w:asciiTheme="minorEastAsia" w:hAnsiTheme="minorEastAsia" w:eastAsiaTheme="minorEastAsia"/>
          <w:b/>
          <w:bCs/>
          <w:sz w:val="24"/>
          <w:highlight w:val="none"/>
          <w:lang w:val="zh-CN"/>
        </w:rPr>
        <w:t xml:space="preserve"> 不可抗力</w:t>
      </w:r>
      <w:bookmarkEnd w:id="114"/>
      <w:bookmarkEnd w:id="115"/>
      <w:bookmarkEnd w:id="11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2.13.2因不可抗力致使不能实现合同目的的，当事人可以解除合同；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2.13.3因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17" w:name="_Toc279701255"/>
      <w:bookmarkStart w:id="118" w:name="_Toc259093684"/>
      <w:bookmarkStart w:id="119" w:name="_Toc6969"/>
      <w:bookmarkStart w:id="120" w:name="_Toc30676"/>
      <w:bookmarkStart w:id="121" w:name="_Toc689"/>
      <w:bookmarkStart w:id="122" w:name="_Toc487900365"/>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4 </w:t>
      </w:r>
      <w:r>
        <w:rPr>
          <w:rFonts w:asciiTheme="minorEastAsia" w:hAnsiTheme="minorEastAsia" w:eastAsiaTheme="minorEastAsia"/>
          <w:b/>
          <w:bCs/>
          <w:sz w:val="24"/>
          <w:highlight w:val="none"/>
          <w:lang w:val="zh-CN"/>
        </w:rPr>
        <w:t>税费</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w:t>
      </w:r>
      <w:r>
        <w:rPr>
          <w:rFonts w:hint="eastAsia" w:asciiTheme="minorEastAsia" w:hAnsiTheme="minorEastAsia" w:eastAsiaTheme="minorEastAsia"/>
          <w:sz w:val="24"/>
          <w:highlight w:val="none"/>
        </w:rPr>
        <w:t>缴纳</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23" w:name="_Toc259093687"/>
      <w:bookmarkStart w:id="124" w:name="_Toc487900368"/>
      <w:bookmarkStart w:id="125" w:name="_Toc16959"/>
      <w:bookmarkStart w:id="126" w:name="_Toc279701258"/>
      <w:bookmarkStart w:id="127" w:name="_Toc7102"/>
      <w:bookmarkStart w:id="128" w:name="_Toc8298"/>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5 </w:t>
      </w:r>
      <w:r>
        <w:rPr>
          <w:rFonts w:asciiTheme="minorEastAsia" w:hAnsiTheme="minorEastAsia" w:eastAsiaTheme="minorEastAsia"/>
          <w:b/>
          <w:bCs/>
          <w:sz w:val="24"/>
          <w:highlight w:val="none"/>
          <w:lang w:val="zh-CN"/>
        </w:rPr>
        <w:t>乙方破产</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129" w:name="_Toc29333"/>
      <w:bookmarkStart w:id="130" w:name="_Toc15387"/>
      <w:bookmarkStart w:id="131" w:name="_Toc6134"/>
      <w:r>
        <w:rPr>
          <w:rFonts w:hint="eastAsia" w:asciiTheme="minorEastAsia" w:hAnsiTheme="minorEastAsia" w:eastAsiaTheme="minorEastAsia"/>
          <w:b/>
          <w:bCs/>
          <w:sz w:val="24"/>
          <w:highlight w:val="none"/>
          <w:lang w:val="zh-CN"/>
        </w:rPr>
        <w:t>2.16 合同中止、终止</w:t>
      </w:r>
      <w:bookmarkEnd w:id="129"/>
      <w:bookmarkEnd w:id="130"/>
      <w:bookmarkEnd w:id="13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2.16.1双方当事人不得擅自中止或者终止合同；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highlight w:val="none"/>
          <w:lang w:val="zh-CN"/>
        </w:rPr>
      </w:pPr>
      <w:bookmarkStart w:id="132" w:name="_Toc1125"/>
      <w:bookmarkStart w:id="133" w:name="_Toc14563"/>
      <w:bookmarkStart w:id="134" w:name="_Toc6596"/>
      <w:r>
        <w:rPr>
          <w:rFonts w:hint="eastAsia" w:asciiTheme="minorEastAsia" w:hAnsiTheme="minorEastAsia" w:eastAsiaTheme="minorEastAsia"/>
          <w:b/>
          <w:bCs/>
          <w:sz w:val="24"/>
          <w:highlight w:val="none"/>
          <w:lang w:val="zh-CN"/>
        </w:rPr>
        <w:t>2.17 检验和验收</w:t>
      </w:r>
      <w:bookmarkEnd w:id="132"/>
      <w:bookmarkEnd w:id="133"/>
      <w:bookmarkEnd w:id="13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2.17.3检验和验收标准、程序等具体内容以及前述验收书的效力详见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104"/>
    <w:bookmarkEnd w:id="105"/>
    <w:bookmarkEnd w:id="106"/>
    <w:bookmarkEnd w:id="107"/>
    <w:p>
      <w:pPr>
        <w:spacing w:line="360" w:lineRule="auto"/>
        <w:ind w:firstLine="437"/>
        <w:outlineLvl w:val="3"/>
        <w:rPr>
          <w:rFonts w:asciiTheme="minorEastAsia" w:hAnsiTheme="minorEastAsia" w:eastAsiaTheme="minorEastAsia"/>
          <w:b/>
          <w:sz w:val="24"/>
          <w:highlight w:val="none"/>
        </w:rPr>
      </w:pPr>
      <w:bookmarkStart w:id="135" w:name="_Toc487900372"/>
      <w:bookmarkStart w:id="136" w:name="_Toc259093691"/>
      <w:bookmarkStart w:id="137" w:name="_Toc18540"/>
      <w:bookmarkStart w:id="138" w:name="_Toc4355"/>
      <w:bookmarkStart w:id="139" w:name="_Toc279701262"/>
      <w:bookmarkStart w:id="140" w:name="_Toc30599"/>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8</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计量单位</w:t>
      </w:r>
      <w:bookmarkEnd w:id="135"/>
      <w:bookmarkEnd w:id="136"/>
      <w:bookmarkEnd w:id="137"/>
      <w:bookmarkEnd w:id="138"/>
      <w:bookmarkEnd w:id="139"/>
      <w:bookmarkEnd w:id="140"/>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highlight w:val="none"/>
        </w:rPr>
      </w:pPr>
      <w:bookmarkStart w:id="141" w:name="_Toc259093692"/>
      <w:bookmarkStart w:id="142" w:name="_Toc10330"/>
      <w:bookmarkStart w:id="143" w:name="_Toc487900373"/>
      <w:bookmarkStart w:id="144" w:name="_Toc18567"/>
      <w:bookmarkStart w:id="145" w:name="_Toc12773"/>
      <w:bookmarkStart w:id="146" w:name="_Toc279701263"/>
      <w:r>
        <w:rPr>
          <w:rFonts w:hint="eastAsia" w:asciiTheme="minorEastAsia" w:hAnsiTheme="minorEastAsia" w:eastAsiaTheme="minorEastAsia"/>
          <w:b/>
          <w:bCs/>
          <w:sz w:val="24"/>
          <w:highlight w:val="none"/>
        </w:rPr>
        <w:t>2.</w:t>
      </w:r>
      <w:r>
        <w:rPr>
          <w:rFonts w:asciiTheme="minorEastAsia" w:hAnsiTheme="minorEastAsia" w:eastAsiaTheme="minorEastAsia"/>
          <w:b/>
          <w:bCs/>
          <w:sz w:val="24"/>
          <w:highlight w:val="none"/>
        </w:rPr>
        <w:t>19</w:t>
      </w:r>
      <w:r>
        <w:rPr>
          <w:rFonts w:hint="eastAsia" w:asciiTheme="minorEastAsia" w:hAnsiTheme="minorEastAsia" w:eastAsiaTheme="minorEastAsia"/>
          <w:b/>
          <w:bCs/>
          <w:sz w:val="24"/>
          <w:highlight w:val="none"/>
        </w:rPr>
        <w:t xml:space="preserve"> </w:t>
      </w:r>
      <w:r>
        <w:rPr>
          <w:rFonts w:hint="eastAsia" w:asciiTheme="minorEastAsia" w:hAnsiTheme="minorEastAsia" w:eastAsiaTheme="minorEastAsia"/>
          <w:b/>
          <w:bCs/>
          <w:sz w:val="24"/>
          <w:highlight w:val="none"/>
          <w:lang w:val="zh-CN"/>
        </w:rPr>
        <w:t>合同使用的文字和</w:t>
      </w:r>
      <w:r>
        <w:rPr>
          <w:rFonts w:asciiTheme="minorEastAsia" w:hAnsiTheme="minorEastAsia" w:eastAsiaTheme="minorEastAsia"/>
          <w:b/>
          <w:bCs/>
          <w:sz w:val="24"/>
          <w:highlight w:val="none"/>
          <w:lang w:val="zh-CN"/>
        </w:rPr>
        <w:t>适用的法律</w:t>
      </w:r>
      <w:bookmarkEnd w:id="141"/>
      <w:bookmarkEnd w:id="142"/>
      <w:bookmarkEnd w:id="143"/>
      <w:bookmarkEnd w:id="144"/>
      <w:bookmarkEnd w:id="145"/>
      <w:bookmarkEnd w:id="14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19.1合同使用汉语书就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w:t>
      </w:r>
      <w:r>
        <w:rPr>
          <w:rFonts w:hint="eastAsia" w:asciiTheme="minorEastAsia" w:hAnsiTheme="minorEastAsia" w:eastAsiaTheme="minorEastAsia"/>
          <w:sz w:val="24"/>
          <w:highlight w:val="none"/>
        </w:rPr>
        <w:t>.2合同适用</w:t>
      </w:r>
      <w:r>
        <w:rPr>
          <w:rFonts w:asciiTheme="minorEastAsia" w:hAnsiTheme="minorEastAsia" w:eastAsiaTheme="minorEastAsia"/>
          <w:sz w:val="24"/>
          <w:highlight w:val="none"/>
        </w:rPr>
        <w:t>中华人民共和国法律。</w:t>
      </w:r>
    </w:p>
    <w:p>
      <w:pPr>
        <w:spacing w:line="360" w:lineRule="auto"/>
        <w:ind w:firstLine="437"/>
        <w:outlineLvl w:val="3"/>
        <w:rPr>
          <w:rFonts w:asciiTheme="minorEastAsia" w:hAnsiTheme="minorEastAsia" w:eastAsiaTheme="minorEastAsia"/>
          <w:b/>
          <w:sz w:val="24"/>
          <w:highlight w:val="none"/>
        </w:rPr>
      </w:pPr>
      <w:bookmarkStart w:id="147" w:name="_Toc279701264"/>
      <w:bookmarkStart w:id="148" w:name="_Toc3148"/>
      <w:bookmarkStart w:id="149" w:name="_Toc259093693"/>
      <w:bookmarkStart w:id="150" w:name="_Toc16673"/>
      <w:bookmarkStart w:id="151" w:name="_Toc12004"/>
      <w:bookmarkStart w:id="152" w:name="_Toc487900374"/>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0</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履约保证金</w:t>
      </w:r>
      <w:bookmarkEnd w:id="147"/>
      <w:bookmarkEnd w:id="148"/>
      <w:bookmarkEnd w:id="149"/>
      <w:bookmarkEnd w:id="150"/>
      <w:bookmarkEnd w:id="15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.1采购文件要求乙方提交履约保证金的，乙方</w:t>
      </w:r>
      <w:r>
        <w:rPr>
          <w:rFonts w:asciiTheme="minorEastAsia" w:hAnsiTheme="minorEastAsia" w:eastAsiaTheme="minorEastAsia"/>
          <w:sz w:val="24"/>
          <w:highlight w:val="none"/>
        </w:rPr>
        <w:t>应按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约定的方式</w:t>
      </w:r>
      <w:r>
        <w:rPr>
          <w:rFonts w:hint="eastAsia" w:asciiTheme="minorEastAsia" w:hAnsiTheme="minorEastAsia" w:eastAsiaTheme="minorEastAsia"/>
          <w:sz w:val="24"/>
          <w:highlight w:val="none"/>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0.2履约保证金在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约定期间内或者货物质量保证期内不予退还或者应完全有效</w:t>
      </w:r>
      <w:r>
        <w:rPr>
          <w:rFonts w:hint="eastAsia" w:asciiTheme="minorEastAsia" w:hAnsiTheme="minorEastAsia" w:eastAsiaTheme="minorEastAsia"/>
          <w:sz w:val="24"/>
          <w:highlight w:val="none"/>
        </w:rPr>
        <w:t>，前述约定期间届满或者</w:t>
      </w:r>
      <w:r>
        <w:rPr>
          <w:rFonts w:asciiTheme="minorEastAsia" w:hAnsiTheme="minorEastAsia" w:eastAsiaTheme="minorEastAsia"/>
          <w:sz w:val="24"/>
          <w:highlight w:val="none"/>
        </w:rPr>
        <w:t>货物质量保证期届满之日起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w:t>
      </w:r>
      <w:r>
        <w:rPr>
          <w:rFonts w:asciiTheme="minorEastAsia" w:hAnsiTheme="minorEastAsia" w:eastAsiaTheme="minorEastAsia"/>
          <w:sz w:val="24"/>
          <w:highlight w:val="none"/>
        </w:rPr>
        <w:t>工作日内，甲方应将履约保证金退还乙方</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如果乙方不履行合同</w:t>
      </w:r>
      <w:r>
        <w:rPr>
          <w:rFonts w:hint="eastAsia" w:asciiTheme="minorEastAsia" w:hAnsiTheme="minorEastAsia" w:eastAsiaTheme="minorEastAsia"/>
          <w:sz w:val="24"/>
          <w:highlight w:val="none"/>
        </w:rPr>
        <w:t>，履约保证金不予退还；如果乙方</w:t>
      </w:r>
      <w:r>
        <w:rPr>
          <w:rFonts w:asciiTheme="minorEastAsia" w:hAnsiTheme="minorEastAsia" w:eastAsiaTheme="minorEastAsia"/>
          <w:sz w:val="24"/>
          <w:highlight w:val="none"/>
        </w:rPr>
        <w:t>未能按合同</w:t>
      </w:r>
      <w:r>
        <w:rPr>
          <w:rFonts w:hint="eastAsia" w:asciiTheme="minorEastAsia" w:hAnsiTheme="minorEastAsia" w:eastAsiaTheme="minorEastAsia"/>
          <w:sz w:val="24"/>
          <w:highlight w:val="none"/>
        </w:rPr>
        <w:t>约</w:t>
      </w:r>
      <w:r>
        <w:rPr>
          <w:rFonts w:asciiTheme="minorEastAsia" w:hAnsiTheme="minorEastAsia" w:eastAsiaTheme="minorEastAsia"/>
          <w:sz w:val="24"/>
          <w:highlight w:val="none"/>
        </w:rPr>
        <w:t>定全面履行义务，那么甲方有权从履约保证金中取得补偿或赔偿</w:t>
      </w:r>
      <w:r>
        <w:rPr>
          <w:rFonts w:hint="eastAsia" w:asciiTheme="minorEastAsia" w:hAnsiTheme="minorEastAsia" w:eastAsiaTheme="minorEastAsia"/>
          <w:sz w:val="24"/>
          <w:highlight w:val="none"/>
        </w:rPr>
        <w:t>，同时不影响甲方要求乙方承担合同约定的超过履约保证金的违约责任的权利。</w:t>
      </w:r>
    </w:p>
    <w:bookmarkEnd w:id="152"/>
    <w:p>
      <w:pPr>
        <w:spacing w:line="360" w:lineRule="auto"/>
        <w:ind w:firstLine="437"/>
        <w:outlineLvl w:val="3"/>
        <w:rPr>
          <w:rFonts w:asciiTheme="minorEastAsia" w:hAnsiTheme="minorEastAsia" w:eastAsiaTheme="minorEastAsia"/>
          <w:b/>
          <w:sz w:val="24"/>
          <w:highlight w:val="none"/>
        </w:rPr>
      </w:pPr>
      <w:bookmarkStart w:id="153" w:name="_Toc6885"/>
      <w:bookmarkStart w:id="154" w:name="_Toc19890"/>
      <w:bookmarkStart w:id="155" w:name="_Toc14001"/>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 合同份数</w:t>
      </w:r>
      <w:bookmarkEnd w:id="153"/>
      <w:bookmarkEnd w:id="154"/>
      <w:bookmarkEnd w:id="155"/>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sz w:val="24"/>
          <w:highlight w:val="none"/>
        </w:rPr>
        <w:br w:type="page"/>
      </w:r>
      <w:bookmarkStart w:id="156"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5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2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4525" w:type="pct"/>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widowControl/>
        <w:jc w:val="left"/>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jc w:val="center"/>
        <w:outlineLvl w:val="1"/>
        <w:rPr>
          <w:rFonts w:asciiTheme="minorEastAsia" w:hAnsiTheme="minorEastAsia" w:eastAsiaTheme="minorEastAsia"/>
          <w:b/>
          <w:sz w:val="28"/>
          <w:highlight w:val="none"/>
        </w:rPr>
      </w:pPr>
      <w:r>
        <w:rPr>
          <w:rFonts w:asciiTheme="minorEastAsia" w:hAnsiTheme="minorEastAsia" w:eastAsiaTheme="minorEastAsia"/>
          <w:sz w:val="24"/>
          <w:highlight w:val="none"/>
        </w:rPr>
        <w:br w:type="page"/>
      </w:r>
      <w:bookmarkStart w:id="157" w:name="_Toc26638975"/>
      <w:r>
        <w:rPr>
          <w:rFonts w:hint="eastAsia" w:asciiTheme="minorEastAsia" w:hAnsiTheme="minorEastAsia" w:eastAsiaTheme="minorEastAsia"/>
          <w:b/>
          <w:sz w:val="28"/>
          <w:highlight w:val="none"/>
        </w:rPr>
        <w:t>第六章  响应文件格式</w:t>
      </w:r>
      <w:bookmarkEnd w:id="157"/>
    </w:p>
    <w:p>
      <w:pPr>
        <w:spacing w:line="360" w:lineRule="auto"/>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32"/>
          <w:highlight w:val="none"/>
          <w:lang w:eastAsia="zh-CN"/>
        </w:rPr>
        <w:t>巢湖市金盾驾校全功能智能化考场设备采购及安装</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响</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应</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供应商：</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2"/>
        <w:rPr>
          <w:rFonts w:asciiTheme="minorEastAsia" w:hAnsiTheme="minorEastAsia" w:eastAsiaTheme="minorEastAsia"/>
          <w:b/>
          <w:sz w:val="24"/>
          <w:highlight w:val="none"/>
        </w:rPr>
      </w:pPr>
      <w:bookmarkStart w:id="158" w:name="_Toc461056631"/>
      <w:bookmarkStart w:id="159" w:name="_Toc461053086"/>
      <w:bookmarkStart w:id="160" w:name="_Toc520983587"/>
      <w:r>
        <w:rPr>
          <w:rFonts w:hint="eastAsia" w:asciiTheme="minorEastAsia" w:hAnsiTheme="minorEastAsia" w:eastAsiaTheme="minorEastAsia"/>
          <w:b/>
          <w:sz w:val="24"/>
          <w:highlight w:val="none"/>
        </w:rPr>
        <w:t>一</w:t>
      </w:r>
      <w:bookmarkEnd w:id="158"/>
      <w:bookmarkEnd w:id="159"/>
      <w:r>
        <w:rPr>
          <w:rFonts w:hint="eastAsia" w:asciiTheme="minorEastAsia" w:hAnsiTheme="minorEastAsia" w:eastAsiaTheme="minorEastAsia"/>
          <w:b/>
          <w:sz w:val="24"/>
          <w:highlight w:val="none"/>
        </w:rPr>
        <w:t>、报价表格式</w:t>
      </w:r>
      <w:bookmarkEnd w:id="160"/>
    </w:p>
    <w:p>
      <w:pPr>
        <w:spacing w:before="156" w:beforeLines="50" w:after="156" w:afterLines="50" w:line="360" w:lineRule="auto"/>
        <w:jc w:val="left"/>
        <w:rPr>
          <w:rFonts w:ascii="宋体" w:hAnsi="宋体" w:eastAsia="宋体"/>
          <w:b/>
          <w:sz w:val="24"/>
          <w:szCs w:val="28"/>
          <w:highlight w:val="none"/>
        </w:rPr>
      </w:pPr>
      <w:r>
        <w:rPr>
          <w:rFonts w:hint="eastAsia" w:ascii="宋体" w:hAnsi="宋体" w:eastAsia="宋体"/>
          <w:b/>
          <w:sz w:val="24"/>
          <w:szCs w:val="28"/>
          <w:highlight w:val="none"/>
        </w:rPr>
        <w:t>1-1 报价表</w:t>
      </w:r>
    </w:p>
    <w:p>
      <w:pPr>
        <w:snapToGrid w:val="0"/>
        <w:spacing w:line="360" w:lineRule="auto"/>
        <w:jc w:val="left"/>
        <w:rPr>
          <w:rFonts w:ascii="宋体" w:hAnsi="宋体" w:eastAsia="宋体"/>
          <w:b/>
          <w:sz w:val="24"/>
          <w:szCs w:val="28"/>
          <w:highlight w:val="none"/>
        </w:rPr>
      </w:pPr>
      <w:r>
        <w:rPr>
          <w:rFonts w:hint="eastAsia" w:ascii="宋体" w:hAnsi="宋体" w:eastAsia="宋体"/>
          <w:b/>
          <w:sz w:val="24"/>
          <w:szCs w:val="28"/>
          <w:highlight w:val="none"/>
        </w:rPr>
        <w:t>项目名称：</w:t>
      </w:r>
      <w:r>
        <w:rPr>
          <w:rFonts w:hint="eastAsia" w:ascii="宋体" w:hAnsi="宋体" w:eastAsia="宋体"/>
          <w:b/>
          <w:sz w:val="24"/>
          <w:szCs w:val="28"/>
          <w:highlight w:val="none"/>
          <w:u w:val="single"/>
          <w:lang w:eastAsia="zh-CN"/>
        </w:rPr>
        <w:t>巢湖市金盾驾校全功能智能化考场设备采购及安装</w:t>
      </w:r>
      <w:r>
        <w:rPr>
          <w:rFonts w:hint="eastAsia" w:ascii="宋体" w:hAnsi="宋体" w:eastAsia="宋体"/>
          <w:b/>
          <w:sz w:val="24"/>
          <w:szCs w:val="28"/>
          <w:highlight w:val="none"/>
          <w:u w:val="single"/>
        </w:rPr>
        <w:t xml:space="preserve"> </w:t>
      </w:r>
    </w:p>
    <w:p>
      <w:pPr>
        <w:snapToGrid w:val="0"/>
        <w:spacing w:after="156" w:afterLines="50" w:line="360" w:lineRule="auto"/>
        <w:jc w:val="left"/>
        <w:rPr>
          <w:rFonts w:ascii="宋体" w:hAnsi="宋体" w:eastAsia="宋体"/>
          <w:b/>
          <w:bCs/>
          <w:sz w:val="24"/>
          <w:szCs w:val="28"/>
          <w:highlight w:val="none"/>
          <w:u w:val="single"/>
        </w:rPr>
      </w:pPr>
      <w:r>
        <w:rPr>
          <w:rFonts w:hint="eastAsia" w:ascii="宋体" w:hAnsi="宋体" w:eastAsia="宋体"/>
          <w:b/>
          <w:sz w:val="24"/>
          <w:szCs w:val="28"/>
          <w:highlight w:val="none"/>
        </w:rPr>
        <w:t>项目编号：</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2024AHTS0013</w:t>
      </w:r>
      <w:r>
        <w:rPr>
          <w:rFonts w:hint="eastAsia" w:ascii="宋体" w:hAnsi="宋体" w:eastAsia="宋体"/>
          <w:b/>
          <w:sz w:val="24"/>
          <w:szCs w:val="28"/>
          <w:highlight w:val="none"/>
          <w:u w:val="singl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供应商名称</w:t>
            </w:r>
          </w:p>
        </w:tc>
        <w:tc>
          <w:tcPr>
            <w:tcW w:w="3557" w:type="pct"/>
            <w:tcBorders>
              <w:left w:val="single" w:color="auto" w:sz="4" w:space="0"/>
            </w:tcBorders>
          </w:tcPr>
          <w:p>
            <w:pPr>
              <w:spacing w:line="360" w:lineRule="auto"/>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highlight w:val="none"/>
              </w:rPr>
            </w:pPr>
            <w:r>
              <w:rPr>
                <w:rFonts w:hint="eastAsia" w:ascii="宋体" w:hAnsi="宋体" w:eastAsia="宋体"/>
                <w:b/>
                <w:sz w:val="24"/>
                <w:highlight w:val="none"/>
              </w:rPr>
              <w:t>磋商范围</w:t>
            </w:r>
          </w:p>
        </w:tc>
        <w:tc>
          <w:tcPr>
            <w:tcW w:w="3557" w:type="pct"/>
            <w:tcBorders>
              <w:left w:val="single" w:color="auto" w:sz="4" w:space="0"/>
            </w:tcBorders>
            <w:vAlign w:val="center"/>
          </w:tcPr>
          <w:p>
            <w:pPr>
              <w:widowControl/>
              <w:spacing w:line="360" w:lineRule="exact"/>
              <w:rPr>
                <w:rFonts w:ascii="宋体" w:hAnsi="宋体" w:eastAsia="宋体"/>
                <w:b/>
                <w:sz w:val="24"/>
                <w:highlight w:val="none"/>
              </w:rPr>
            </w:pPr>
            <w:r>
              <w:rPr>
                <w:rFonts w:hint="eastAsia" w:asciiTheme="minorEastAsia" w:hAnsiTheme="minorEastAsia" w:eastAsiaTheme="minorEastAsia"/>
                <w:sz w:val="24"/>
                <w:szCs w:val="28"/>
                <w:highlight w:val="none"/>
              </w:rPr>
              <w:t>全部 / 第</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报价</w:t>
            </w:r>
          </w:p>
          <w:p>
            <w:pPr>
              <w:spacing w:line="360" w:lineRule="auto"/>
              <w:jc w:val="center"/>
              <w:rPr>
                <w:rFonts w:ascii="宋体" w:hAnsi="宋体" w:eastAsia="宋体"/>
                <w:b/>
                <w:sz w:val="24"/>
                <w:highlight w:val="none"/>
              </w:rPr>
            </w:pPr>
            <w:r>
              <w:rPr>
                <w:rFonts w:hint="eastAsia" w:ascii="宋体" w:hAnsi="宋体" w:eastAsia="宋体"/>
                <w:b/>
                <w:sz w:val="24"/>
                <w:highlight w:val="none"/>
              </w:rPr>
              <w:t>（详见备注说明）</w:t>
            </w:r>
          </w:p>
        </w:tc>
        <w:tc>
          <w:tcPr>
            <w:tcW w:w="3557" w:type="pct"/>
            <w:vAlign w:val="center"/>
          </w:tcPr>
          <w:p>
            <w:pPr>
              <w:snapToGrid w:val="0"/>
              <w:spacing w:line="360" w:lineRule="auto"/>
              <w:rPr>
                <w:rFonts w:ascii="宋体" w:hAnsi="宋体" w:eastAsia="宋体"/>
                <w:sz w:val="24"/>
                <w:szCs w:val="28"/>
                <w:highlight w:val="none"/>
              </w:rPr>
            </w:pPr>
          </w:p>
          <w:p>
            <w:pPr>
              <w:snapToGrid w:val="0"/>
              <w:spacing w:line="360" w:lineRule="auto"/>
              <w:rPr>
                <w:rFonts w:hint="default" w:ascii="宋体" w:hAnsi="宋体" w:eastAsia="宋体"/>
                <w:b w:val="0"/>
                <w:bCs/>
                <w:sz w:val="24"/>
                <w:highlight w:val="none"/>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p>
            <w:pPr>
              <w:snapToGrid w:val="0"/>
              <w:spacing w:line="360" w:lineRule="auto"/>
              <w:rPr>
                <w:rFonts w:ascii="宋体" w:hAnsi="宋体" w:eastAsia="宋体"/>
                <w:b/>
                <w:sz w:val="24"/>
                <w:highlight w:val="none"/>
              </w:rPr>
            </w:pPr>
            <w:r>
              <w:rPr>
                <w:rFonts w:hint="eastAsia" w:ascii="宋体" w:hAnsi="宋体" w:eastAsia="宋体" w:cs="宋体"/>
                <w:bCs/>
                <w:sz w:val="24"/>
                <w:szCs w:val="24"/>
                <w:highlight w:val="none"/>
              </w:rPr>
              <w:t>人民币小写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备注说明</w:t>
            </w:r>
          </w:p>
        </w:tc>
        <w:tc>
          <w:tcPr>
            <w:tcW w:w="3557" w:type="pct"/>
            <w:vAlign w:val="center"/>
          </w:tcPr>
          <w:p>
            <w:pPr>
              <w:spacing w:line="360" w:lineRule="auto"/>
              <w:jc w:val="both"/>
              <w:rPr>
                <w:rFonts w:ascii="宋体" w:hAnsi="宋体" w:eastAsia="宋体"/>
                <w:b/>
                <w:sz w:val="24"/>
                <w:highlight w:val="none"/>
              </w:rPr>
            </w:pPr>
            <w:r>
              <w:rPr>
                <w:rFonts w:hint="eastAsia" w:ascii="宋体" w:hAnsi="宋体" w:eastAsia="宋体"/>
                <w:b/>
                <w:sz w:val="24"/>
                <w:highlight w:val="none"/>
                <w:lang w:val="en-US" w:eastAsia="zh-CN"/>
              </w:rPr>
              <w:t>完全响应磋商文件要求，承诺按照磋商文件要求结算。</w:t>
            </w:r>
          </w:p>
        </w:tc>
      </w:tr>
    </w:tbl>
    <w:p>
      <w:pPr>
        <w:spacing w:line="360" w:lineRule="auto"/>
        <w:ind w:firstLine="4560" w:firstLineChars="1900"/>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adjustRightInd w:val="0"/>
        <w:snapToGrid w:val="0"/>
        <w:spacing w:line="360" w:lineRule="auto"/>
        <w:rPr>
          <w:rFonts w:ascii="宋体" w:hAnsi="宋体" w:eastAsia="宋体"/>
          <w:b/>
          <w:bCs/>
          <w:sz w:val="24"/>
          <w:szCs w:val="28"/>
          <w:highlight w:val="none"/>
        </w:rPr>
      </w:pPr>
      <w:r>
        <w:rPr>
          <w:rFonts w:hint="eastAsia" w:ascii="宋体" w:hAnsi="宋体" w:eastAsia="宋体"/>
          <w:b/>
          <w:bCs/>
          <w:sz w:val="24"/>
          <w:szCs w:val="28"/>
          <w:highlight w:val="none"/>
        </w:rPr>
        <w:t>注：</w:t>
      </w:r>
    </w:p>
    <w:p>
      <w:pPr>
        <w:adjustRightInd w:val="0"/>
        <w:snapToGrid w:val="0"/>
        <w:spacing w:line="360" w:lineRule="auto"/>
        <w:ind w:firstLine="482" w:firstLineChars="200"/>
        <w:rPr>
          <w:rFonts w:ascii="宋体" w:hAnsi="宋体" w:eastAsia="宋体"/>
          <w:sz w:val="24"/>
          <w:highlight w:val="none"/>
        </w:rPr>
      </w:pPr>
      <w:r>
        <w:rPr>
          <w:rFonts w:hint="eastAsia" w:ascii="宋体" w:hAnsi="宋体" w:eastAsia="宋体"/>
          <w:b/>
          <w:bCs/>
          <w:sz w:val="24"/>
          <w:szCs w:val="28"/>
          <w:highlight w:val="none"/>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highlight w:val="none"/>
        </w:rPr>
      </w:pPr>
      <w:r>
        <w:rPr>
          <w:rFonts w:hint="eastAsia" w:ascii="宋体" w:hAnsi="宋体" w:eastAsia="宋体"/>
          <w:b/>
          <w:bCs/>
          <w:sz w:val="24"/>
          <w:szCs w:val="28"/>
          <w:highlight w:val="none"/>
        </w:rPr>
        <w:t>2.特殊事项在备注中注明。</w:t>
      </w:r>
    </w:p>
    <w:p>
      <w:pPr>
        <w:adjustRightInd w:val="0"/>
        <w:snapToGrid w:val="0"/>
        <w:spacing w:line="360" w:lineRule="auto"/>
        <w:ind w:firstLine="482" w:firstLineChars="200"/>
        <w:rPr>
          <w:rFonts w:ascii="宋体" w:hAnsi="宋体" w:eastAsia="宋体"/>
          <w:b/>
          <w:bCs/>
          <w:sz w:val="24"/>
          <w:szCs w:val="28"/>
          <w:highlight w:val="none"/>
        </w:rPr>
      </w:pPr>
      <w:r>
        <w:rPr>
          <w:rFonts w:hint="eastAsia" w:ascii="宋体" w:hAnsi="宋体" w:eastAsia="宋体"/>
          <w:b/>
          <w:bCs/>
          <w:sz w:val="24"/>
          <w:szCs w:val="28"/>
          <w:highlight w:val="none"/>
        </w:rPr>
        <w:t>3.供应商应根据其响应文件中报价表的内容填写唱标信息，唱标信息不作为评审的依据。唱标信息与报价表不一致的，</w:t>
      </w:r>
      <w:r>
        <w:rPr>
          <w:rFonts w:ascii="宋体" w:hAnsi="宋体" w:eastAsia="宋体"/>
          <w:b/>
          <w:bCs/>
          <w:sz w:val="24"/>
          <w:szCs w:val="28"/>
          <w:highlight w:val="none"/>
        </w:rPr>
        <w:t>以</w:t>
      </w:r>
      <w:r>
        <w:rPr>
          <w:rFonts w:hint="eastAsia" w:ascii="宋体" w:hAnsi="宋体" w:eastAsia="宋体"/>
          <w:b/>
          <w:bCs/>
          <w:sz w:val="24"/>
          <w:szCs w:val="28"/>
          <w:highlight w:val="none"/>
        </w:rPr>
        <w:t>报价表为准。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eastAsiaTheme="minorEastAsia"/>
          <w:b/>
          <w:sz w:val="24"/>
          <w:highlight w:val="none"/>
        </w:rPr>
      </w:pPr>
      <w:r>
        <w:rPr>
          <w:rFonts w:hint="eastAsia" w:ascii="宋体" w:hAnsi="宋体" w:eastAsia="宋体"/>
          <w:b/>
          <w:bCs/>
          <w:sz w:val="24"/>
          <w:szCs w:val="28"/>
          <w:highlight w:val="none"/>
        </w:rPr>
        <w:t>4.报价表中大写与小写不一致的，以大写为准。</w:t>
      </w:r>
      <w:r>
        <w:rPr>
          <w:rFonts w:asciiTheme="minorEastAsia" w:hAnsiTheme="minorEastAsia" w:eastAsiaTheme="minorEastAsia"/>
          <w:b/>
          <w:sz w:val="24"/>
          <w:highlight w:val="none"/>
        </w:rPr>
        <w:br w:type="page"/>
      </w:r>
    </w:p>
    <w:p>
      <w:pPr>
        <w:spacing w:before="156" w:beforeLines="50" w:afterAutospacing="0" w:line="360" w:lineRule="auto"/>
        <w:jc w:val="left"/>
        <w:rPr>
          <w:rFonts w:hint="eastAsia" w:ascii="宋体" w:hAnsi="宋体" w:eastAsia="宋体"/>
          <w:sz w:val="24"/>
          <w:szCs w:val="24"/>
          <w:highlight w:val="none"/>
        </w:rPr>
      </w:pPr>
      <w:bookmarkStart w:id="161" w:name="_Toc461053087"/>
      <w:bookmarkStart w:id="162" w:name="_Toc461056632"/>
      <w:bookmarkStart w:id="163" w:name="_Toc520983588"/>
      <w:r>
        <w:rPr>
          <w:rFonts w:hint="eastAsia" w:ascii="宋体" w:hAnsi="宋体" w:eastAsia="宋体"/>
          <w:b/>
          <w:sz w:val="24"/>
          <w:szCs w:val="28"/>
          <w:highlight w:val="none"/>
        </w:rPr>
        <w:t>1-2 分项报价单</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34"/>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42"/>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42"/>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CellMar>
            <w:top w:w="0" w:type="dxa"/>
            <w:left w:w="108" w:type="dxa"/>
            <w:bottom w:w="0" w:type="dxa"/>
            <w:right w:w="108" w:type="dxa"/>
          </w:tblCellMar>
        </w:tblPrEx>
        <w:trPr>
          <w:cantSplit/>
          <w:trHeight w:val="424" w:hRule="atLeast"/>
          <w:jc w:val="center"/>
        </w:trPr>
        <w:tc>
          <w:tcPr>
            <w:tcW w:w="1171" w:type="pct"/>
            <w:gridSpan w:val="2"/>
            <w:vAlign w:val="center"/>
          </w:tcPr>
          <w:p>
            <w:pPr>
              <w:pStyle w:val="42"/>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spacing w:line="440" w:lineRule="exact"/>
        <w:rPr>
          <w:rFonts w:hint="eastAsia" w:ascii="宋体" w:hAnsi="宋体" w:eastAsia="宋体"/>
          <w:sz w:val="24"/>
          <w:szCs w:val="24"/>
          <w:highlight w:val="none"/>
        </w:rPr>
      </w:pP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供应商</w:t>
      </w:r>
      <w:r>
        <w:rPr>
          <w:rFonts w:hint="eastAsia" w:ascii="宋体" w:hAnsi="宋体" w:eastAsia="宋体"/>
          <w:sz w:val="24"/>
          <w:szCs w:val="24"/>
          <w:highlight w:val="none"/>
          <w:lang w:eastAsia="zh-CN"/>
        </w:rPr>
        <w:t>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pStyle w:val="13"/>
        <w:spacing w:line="360" w:lineRule="auto"/>
        <w:jc w:val="right"/>
        <w:rPr>
          <w:rFonts w:ascii="宋体" w:hAnsi="宋体"/>
          <w:sz w:val="24"/>
          <w:highlight w:val="none"/>
        </w:rPr>
      </w:pPr>
    </w:p>
    <w:p>
      <w:pPr>
        <w:widowControl/>
        <w:jc w:val="left"/>
        <w:rPr>
          <w:rFonts w:asciiTheme="minorEastAsia" w:hAnsiTheme="minorEastAsia" w:eastAsiaTheme="minorEastAsia"/>
          <w:b/>
          <w:bCs/>
          <w:sz w:val="24"/>
          <w:szCs w:val="28"/>
          <w:highlight w:val="none"/>
        </w:rPr>
      </w:pPr>
      <w:r>
        <w:rPr>
          <w:rFonts w:hint="eastAsia" w:asciiTheme="minorEastAsia" w:hAnsiTheme="minorEastAsia" w:eastAsiaTheme="minorEastAsia"/>
          <w:b/>
          <w:bCs/>
          <w:sz w:val="24"/>
          <w:szCs w:val="28"/>
          <w:highlight w:val="none"/>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响应无效</w:t>
      </w:r>
      <w:r>
        <w:rPr>
          <w:rFonts w:hint="eastAsia" w:asciiTheme="minorEastAsia" w:hAnsiTheme="minorEastAsia" w:eastAsiaTheme="minorEastAsia"/>
          <w:sz w:val="24"/>
        </w:rPr>
        <w:t>。</w:t>
      </w:r>
      <w:r>
        <w:rPr>
          <w:rFonts w:asciiTheme="minorEastAsia" w:hAnsiTheme="minorEastAsia" w:eastAsiaTheme="minorEastAsia"/>
          <w:sz w:val="24"/>
          <w:highlight w:val="none"/>
        </w:rPr>
        <w:br w:type="page"/>
      </w:r>
    </w:p>
    <w:p>
      <w:pPr>
        <w:pStyle w:val="2"/>
        <w:jc w:val="center"/>
        <w:rPr>
          <w:rFonts w:asciiTheme="minorEastAsia" w:hAnsiTheme="minorEastAsia" w:eastAsiaTheme="minorEastAsia"/>
          <w:b w:val="0"/>
          <w:sz w:val="24"/>
          <w:highlight w:val="none"/>
        </w:rPr>
      </w:pPr>
      <w:r>
        <w:rPr>
          <w:rFonts w:hint="eastAsia" w:asciiTheme="minorEastAsia" w:hAnsiTheme="minorEastAsia" w:eastAsiaTheme="minorEastAsia"/>
          <w:sz w:val="24"/>
          <w:highlight w:val="none"/>
        </w:rPr>
        <w:t>二</w:t>
      </w:r>
      <w:bookmarkEnd w:id="161"/>
      <w:bookmarkEnd w:id="162"/>
      <w:r>
        <w:rPr>
          <w:rFonts w:hint="eastAsia" w:asciiTheme="minorEastAsia" w:hAnsiTheme="minorEastAsia" w:eastAsiaTheme="minorEastAsia"/>
          <w:sz w:val="24"/>
          <w:highlight w:val="none"/>
        </w:rPr>
        <w:t>、最后承诺报价表</w:t>
      </w:r>
      <w:bookmarkEnd w:id="163"/>
    </w:p>
    <w:p>
      <w:pPr>
        <w:spacing w:before="156" w:beforeLines="50" w:after="156" w:afterLines="50" w:line="360" w:lineRule="auto"/>
        <w:jc w:val="center"/>
        <w:rPr>
          <w:rFonts w:ascii="宋体" w:hAnsi="宋体" w:eastAsia="宋体"/>
          <w:b/>
          <w:sz w:val="24"/>
          <w:szCs w:val="28"/>
          <w:highlight w:val="none"/>
        </w:rPr>
      </w:pPr>
      <w:r>
        <w:rPr>
          <w:rFonts w:hint="eastAsia" w:ascii="宋体" w:hAnsi="宋体" w:eastAsia="宋体"/>
          <w:b/>
          <w:sz w:val="24"/>
          <w:szCs w:val="28"/>
          <w:highlight w:val="none"/>
        </w:rPr>
        <w:t>（</w:t>
      </w:r>
      <w:r>
        <w:rPr>
          <w:rFonts w:hint="eastAsia" w:ascii="宋体" w:hAnsi="宋体" w:eastAsia="宋体"/>
          <w:b/>
          <w:sz w:val="24"/>
          <w:szCs w:val="28"/>
          <w:highlight w:val="none"/>
          <w:lang w:eastAsia="zh-CN"/>
        </w:rPr>
        <w:t>巢湖市金盾驾校全功能智能化考场设备采购及安装</w:t>
      </w:r>
      <w:r>
        <w:rPr>
          <w:rFonts w:hint="eastAsia" w:ascii="宋体" w:hAnsi="宋体" w:eastAsia="宋体"/>
          <w:b/>
          <w:sz w:val="24"/>
          <w:szCs w:val="28"/>
          <w:highlight w:val="none"/>
        </w:rPr>
        <w:t>第</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rPr>
        <w:t>次报价书）</w:t>
      </w:r>
    </w:p>
    <w:p>
      <w:pPr>
        <w:snapToGrid w:val="0"/>
        <w:spacing w:line="360" w:lineRule="auto"/>
        <w:jc w:val="left"/>
        <w:rPr>
          <w:rFonts w:ascii="宋体" w:hAnsi="宋体" w:eastAsia="宋体"/>
          <w:b/>
          <w:sz w:val="24"/>
          <w:szCs w:val="28"/>
          <w:highlight w:val="none"/>
        </w:rPr>
      </w:pPr>
      <w:r>
        <w:rPr>
          <w:rFonts w:hint="eastAsia" w:ascii="宋体" w:hAnsi="宋体" w:eastAsia="宋体"/>
          <w:b/>
          <w:sz w:val="24"/>
          <w:szCs w:val="28"/>
          <w:highlight w:val="none"/>
        </w:rPr>
        <w:t>项目名称：</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巢湖市金盾驾校全功能智能化考场设备采购及安装</w:t>
      </w:r>
      <w:r>
        <w:rPr>
          <w:rFonts w:hint="eastAsia" w:ascii="宋体" w:hAnsi="宋体" w:eastAsia="宋体"/>
          <w:b/>
          <w:sz w:val="24"/>
          <w:szCs w:val="28"/>
          <w:highlight w:val="none"/>
          <w:u w:val="single"/>
        </w:rPr>
        <w:t xml:space="preserve"> </w:t>
      </w:r>
    </w:p>
    <w:p>
      <w:pPr>
        <w:snapToGrid w:val="0"/>
        <w:spacing w:after="156" w:afterLines="50" w:line="360" w:lineRule="auto"/>
        <w:jc w:val="left"/>
        <w:rPr>
          <w:rFonts w:ascii="宋体" w:hAnsi="宋体" w:eastAsia="宋体"/>
          <w:b/>
          <w:bCs/>
          <w:sz w:val="24"/>
          <w:szCs w:val="28"/>
          <w:highlight w:val="none"/>
        </w:rPr>
      </w:pPr>
      <w:r>
        <w:rPr>
          <w:rFonts w:hint="eastAsia" w:ascii="宋体" w:hAnsi="宋体" w:eastAsia="宋体"/>
          <w:b/>
          <w:sz w:val="24"/>
          <w:szCs w:val="28"/>
          <w:highlight w:val="none"/>
        </w:rPr>
        <w:t>项目编号：</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2024AHTS0013</w:t>
      </w:r>
      <w:r>
        <w:rPr>
          <w:rFonts w:hint="eastAsia" w:ascii="宋体" w:hAnsi="宋体" w:eastAsia="宋体"/>
          <w:b/>
          <w:sz w:val="24"/>
          <w:szCs w:val="28"/>
          <w:highlight w:val="none"/>
          <w:u w:val="singl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供应商名称</w:t>
            </w:r>
          </w:p>
        </w:tc>
        <w:tc>
          <w:tcPr>
            <w:tcW w:w="3557" w:type="pct"/>
            <w:tcBorders>
              <w:left w:val="single" w:color="auto" w:sz="4" w:space="0"/>
            </w:tcBorders>
          </w:tcPr>
          <w:p>
            <w:pPr>
              <w:spacing w:line="360" w:lineRule="auto"/>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highlight w:val="none"/>
              </w:rPr>
            </w:pPr>
            <w:r>
              <w:rPr>
                <w:rFonts w:hint="eastAsia" w:ascii="宋体" w:hAnsi="宋体" w:eastAsia="宋体"/>
                <w:b/>
                <w:bCs/>
                <w:sz w:val="24"/>
                <w:szCs w:val="28"/>
                <w:highlight w:val="none"/>
              </w:rPr>
              <w:t>磋商</w:t>
            </w:r>
            <w:r>
              <w:rPr>
                <w:rFonts w:hint="eastAsia" w:ascii="宋体" w:hAnsi="宋体" w:eastAsia="宋体"/>
                <w:b/>
                <w:sz w:val="24"/>
                <w:highlight w:val="none"/>
              </w:rPr>
              <w:t>范围</w:t>
            </w:r>
          </w:p>
        </w:tc>
        <w:tc>
          <w:tcPr>
            <w:tcW w:w="3557" w:type="pct"/>
            <w:tcBorders>
              <w:left w:val="single" w:color="auto" w:sz="4" w:space="0"/>
            </w:tcBorders>
            <w:vAlign w:val="center"/>
          </w:tcPr>
          <w:p>
            <w:pPr>
              <w:widowControl/>
              <w:spacing w:line="360" w:lineRule="exact"/>
              <w:rPr>
                <w:rFonts w:ascii="宋体" w:hAnsi="宋体" w:eastAsia="宋体"/>
                <w:b/>
                <w:sz w:val="24"/>
                <w:highlight w:val="none"/>
              </w:rPr>
            </w:pPr>
            <w:r>
              <w:rPr>
                <w:rFonts w:hint="eastAsia" w:asciiTheme="minorEastAsia" w:hAnsiTheme="minorEastAsia" w:eastAsiaTheme="minorEastAsia"/>
                <w:sz w:val="24"/>
                <w:szCs w:val="28"/>
                <w:highlight w:val="none"/>
              </w:rPr>
              <w:t>全部 / 第</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bCs/>
                <w:sz w:val="24"/>
                <w:szCs w:val="28"/>
                <w:highlight w:val="none"/>
              </w:rPr>
              <w:t>最后报价</w:t>
            </w:r>
          </w:p>
          <w:p>
            <w:pPr>
              <w:spacing w:line="360" w:lineRule="auto"/>
              <w:jc w:val="center"/>
              <w:rPr>
                <w:rFonts w:ascii="宋体" w:hAnsi="宋体" w:eastAsia="宋体"/>
                <w:b/>
                <w:sz w:val="24"/>
                <w:highlight w:val="none"/>
              </w:rPr>
            </w:pPr>
            <w:r>
              <w:rPr>
                <w:rFonts w:hint="eastAsia" w:ascii="宋体" w:hAnsi="宋体" w:eastAsia="宋体"/>
                <w:b/>
                <w:sz w:val="24"/>
                <w:highlight w:val="none"/>
              </w:rPr>
              <w:t>（详见备注说明）</w:t>
            </w:r>
          </w:p>
        </w:tc>
        <w:tc>
          <w:tcPr>
            <w:tcW w:w="3557" w:type="pct"/>
            <w:vAlign w:val="center"/>
          </w:tcPr>
          <w:p>
            <w:pPr>
              <w:snapToGrid w:val="0"/>
              <w:spacing w:line="360" w:lineRule="auto"/>
              <w:rPr>
                <w:rFonts w:hint="default" w:ascii="宋体" w:hAnsi="宋体" w:eastAsia="宋体"/>
                <w:b w:val="0"/>
                <w:bCs/>
                <w:sz w:val="24"/>
                <w:highlight w:val="none"/>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p>
            <w:pPr>
              <w:snapToGrid w:val="0"/>
              <w:spacing w:line="360" w:lineRule="auto"/>
              <w:rPr>
                <w:rFonts w:ascii="宋体" w:hAnsi="宋体" w:eastAsia="宋体"/>
                <w:b/>
                <w:sz w:val="24"/>
                <w:highlight w:val="none"/>
              </w:rPr>
            </w:pPr>
            <w:r>
              <w:rPr>
                <w:rFonts w:hint="eastAsia" w:ascii="宋体" w:hAnsi="宋体" w:eastAsia="宋体" w:cs="宋体"/>
                <w:bCs/>
                <w:sz w:val="24"/>
                <w:szCs w:val="24"/>
                <w:highlight w:val="none"/>
              </w:rPr>
              <w:t>人民币小写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备注说明</w:t>
            </w:r>
          </w:p>
        </w:tc>
        <w:tc>
          <w:tcPr>
            <w:tcW w:w="3557" w:type="pct"/>
            <w:vAlign w:val="center"/>
          </w:tcPr>
          <w:p>
            <w:pPr>
              <w:spacing w:line="360" w:lineRule="auto"/>
              <w:jc w:val="both"/>
              <w:rPr>
                <w:rFonts w:ascii="宋体" w:hAnsi="宋体" w:eastAsia="宋体"/>
                <w:b/>
                <w:sz w:val="24"/>
                <w:highlight w:val="none"/>
              </w:rPr>
            </w:pPr>
            <w:r>
              <w:rPr>
                <w:rFonts w:hint="eastAsia" w:ascii="宋体" w:hAnsi="宋体" w:eastAsia="宋体"/>
                <w:b/>
                <w:sz w:val="24"/>
                <w:highlight w:val="none"/>
                <w:lang w:val="en-US" w:eastAsia="zh-CN"/>
              </w:rPr>
              <w:t>完全响应磋商文件要求，承诺按照磋商文件要求进行供货和结算。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bCs/>
                <w:sz w:val="24"/>
                <w:szCs w:val="28"/>
                <w:highlight w:val="none"/>
              </w:rPr>
              <w:t>磋商小组</w:t>
            </w:r>
            <w:r>
              <w:rPr>
                <w:rFonts w:ascii="宋体" w:hAnsi="宋体" w:eastAsia="宋体"/>
                <w:b/>
                <w:bCs/>
                <w:sz w:val="24"/>
                <w:szCs w:val="28"/>
                <w:highlight w:val="none"/>
              </w:rPr>
              <w:t>签字</w:t>
            </w:r>
          </w:p>
        </w:tc>
        <w:tc>
          <w:tcPr>
            <w:tcW w:w="3557" w:type="pct"/>
          </w:tcPr>
          <w:p>
            <w:pPr>
              <w:spacing w:line="360" w:lineRule="auto"/>
              <w:rPr>
                <w:rFonts w:ascii="宋体" w:hAnsi="宋体" w:eastAsia="宋体"/>
                <w:b/>
                <w:sz w:val="24"/>
                <w:highlight w:val="none"/>
              </w:rPr>
            </w:pPr>
          </w:p>
        </w:tc>
      </w:tr>
    </w:tbl>
    <w:p>
      <w:pPr>
        <w:spacing w:line="360" w:lineRule="auto"/>
        <w:ind w:firstLine="1680" w:firstLineChars="700"/>
        <w:jc w:val="left"/>
        <w:rPr>
          <w:rFonts w:ascii="宋体" w:hAnsi="宋体" w:eastAsia="宋体"/>
          <w:sz w:val="24"/>
          <w:highlight w:val="none"/>
        </w:rPr>
      </w:pPr>
      <w:r>
        <w:rPr>
          <w:rFonts w:hint="eastAsia" w:ascii="宋体" w:hAnsi="宋体" w:eastAsia="宋体"/>
          <w:sz w:val="24"/>
          <w:highlight w:val="none"/>
        </w:rPr>
        <w:t xml:space="preserve">                   供应商公章或授权代表签字：</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b/>
          <w:bCs/>
          <w:sz w:val="24"/>
          <w:highlight w:val="none"/>
        </w:rPr>
      </w:pPr>
      <w:r>
        <w:rPr>
          <w:rFonts w:hint="eastAsia" w:ascii="宋体" w:hAnsi="宋体" w:eastAsia="宋体"/>
          <w:b/>
          <w:bCs/>
          <w:sz w:val="24"/>
          <w:highlight w:val="none"/>
        </w:rPr>
        <w:t>注：</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highlight w:val="none"/>
        </w:rPr>
      </w:pPr>
      <w:r>
        <w:rPr>
          <w:rFonts w:hint="eastAsia" w:asciiTheme="minorEastAsia" w:hAnsiTheme="minorEastAsia" w:eastAsiaTheme="minorEastAsia"/>
          <w:b/>
          <w:color w:val="FF0000"/>
          <w:sz w:val="24"/>
          <w:highlight w:val="none"/>
          <w:lang w:val="en-US" w:eastAsia="zh-CN"/>
        </w:rPr>
        <w:t>1.</w:t>
      </w:r>
      <w:r>
        <w:rPr>
          <w:rFonts w:hint="eastAsia" w:ascii="宋体" w:hAnsi="宋体" w:eastAsia="宋体"/>
          <w:b/>
          <w:bCs/>
          <w:color w:val="FF0000"/>
          <w:sz w:val="24"/>
          <w:highlight w:val="none"/>
        </w:rPr>
        <w:t>本页《报价表》由供应商在接到报价通知后依据磋商情况填写,请带至磋商现场备填</w:t>
      </w:r>
      <w:r>
        <w:rPr>
          <w:rFonts w:hint="eastAsia" w:ascii="宋体" w:hAnsi="宋体" w:eastAsia="宋体"/>
          <w:b/>
          <w:bCs/>
          <w:color w:val="FF0000"/>
          <w:sz w:val="24"/>
          <w:highlight w:val="none"/>
          <w:lang w:eastAsia="zh-CN"/>
        </w:rPr>
        <w:t>，</w:t>
      </w:r>
      <w:r>
        <w:rPr>
          <w:rFonts w:hint="eastAsia" w:ascii="宋体" w:hAnsi="宋体" w:eastAsia="宋体"/>
          <w:b/>
          <w:bCs/>
          <w:color w:val="FF0000"/>
          <w:sz w:val="24"/>
          <w:highlight w:val="none"/>
        </w:rPr>
        <w:t>并在规定时间内上</w:t>
      </w:r>
      <w:r>
        <w:rPr>
          <w:rFonts w:hint="eastAsia" w:ascii="宋体" w:hAnsi="宋体" w:eastAsia="宋体"/>
          <w:b/>
          <w:bCs/>
          <w:color w:val="FF0000"/>
          <w:sz w:val="24"/>
          <w:highlight w:val="none"/>
          <w:lang w:val="en-US" w:eastAsia="zh-CN"/>
        </w:rPr>
        <w:t>交</w:t>
      </w:r>
      <w:r>
        <w:rPr>
          <w:rFonts w:hint="eastAsia" w:ascii="宋体" w:hAnsi="宋体" w:eastAsia="宋体"/>
          <w:b/>
          <w:bCs/>
          <w:color w:val="FF0000"/>
          <w:sz w:val="24"/>
          <w:highlight w:val="none"/>
        </w:rPr>
        <w:t>。</w:t>
      </w:r>
      <w:r>
        <w:rPr>
          <w:rFonts w:hint="eastAsia" w:ascii="宋体" w:hAnsi="宋体" w:eastAsia="宋体"/>
          <w:sz w:val="24"/>
          <w:highlight w:val="none"/>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highlight w:val="none"/>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highlight w:val="none"/>
        </w:rPr>
      </w:pPr>
      <w:r>
        <w:rPr>
          <w:rFonts w:hint="eastAsia" w:ascii="宋体" w:hAnsi="宋体" w:eastAsia="宋体"/>
          <w:b/>
          <w:bCs/>
          <w:sz w:val="24"/>
          <w:szCs w:val="28"/>
          <w:highlight w:val="none"/>
          <w:lang w:val="en-US" w:eastAsia="zh-CN"/>
        </w:rPr>
        <w:t>2</w:t>
      </w:r>
      <w:r>
        <w:rPr>
          <w:rFonts w:hint="eastAsia" w:ascii="宋体" w:hAnsi="宋体" w:eastAsia="宋体"/>
          <w:b/>
          <w:bCs/>
          <w:sz w:val="24"/>
          <w:szCs w:val="28"/>
          <w:highlight w:val="none"/>
        </w:rPr>
        <w:t>.报价表中大写与小写不一致的，以大写为准。</w:t>
      </w:r>
      <w:r>
        <w:rPr>
          <w:rFonts w:ascii="宋体" w:hAnsi="宋体" w:eastAsia="宋体"/>
          <w:bCs/>
          <w:sz w:val="24"/>
          <w:highlight w:val="none"/>
        </w:rPr>
        <w:br w:type="page"/>
      </w:r>
    </w:p>
    <w:p>
      <w:pPr>
        <w:spacing w:line="360" w:lineRule="auto"/>
        <w:jc w:val="center"/>
        <w:outlineLvl w:val="2"/>
        <w:rPr>
          <w:rFonts w:asciiTheme="minorEastAsia" w:hAnsiTheme="minorEastAsia" w:eastAsiaTheme="minorEastAsia"/>
          <w:b/>
          <w:sz w:val="24"/>
          <w:highlight w:val="none"/>
        </w:rPr>
      </w:pPr>
      <w:bookmarkStart w:id="164" w:name="_Toc520983591"/>
      <w:r>
        <w:rPr>
          <w:rFonts w:hint="eastAsia" w:asciiTheme="minorEastAsia" w:hAnsiTheme="minorEastAsia" w:eastAsiaTheme="minorEastAsia"/>
          <w:b/>
          <w:sz w:val="24"/>
          <w:highlight w:val="none"/>
        </w:rPr>
        <w:t>三、磋商响应函</w:t>
      </w:r>
      <w:bookmarkEnd w:id="164"/>
    </w:p>
    <w:p>
      <w:pPr>
        <w:pStyle w:val="13"/>
        <w:spacing w:line="360" w:lineRule="auto"/>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巢湖市金盾机动车驾驶员培训学校有限公司</w:t>
      </w:r>
    </w:p>
    <w:p>
      <w:pPr>
        <w:pStyle w:val="13"/>
        <w:spacing w:line="360" w:lineRule="auto"/>
        <w:ind w:firstLine="472" w:firstLineChars="196"/>
        <w:rPr>
          <w:rFonts w:hint="eastAsia" w:ascii="宋体" w:hAnsi="宋体" w:eastAsia="宋体"/>
          <w:sz w:val="24"/>
          <w:highlight w:val="none"/>
          <w:lang w:eastAsia="zh-CN"/>
        </w:rPr>
      </w:pPr>
      <w:r>
        <w:rPr>
          <w:rFonts w:hint="eastAsia" w:ascii="宋体" w:hAnsi="宋体"/>
          <w:sz w:val="24"/>
          <w:highlight w:val="none"/>
          <w:lang w:eastAsia="zh-CN"/>
        </w:rPr>
        <w:t>安徽天顺工程造价咨询有限公司</w:t>
      </w:r>
    </w:p>
    <w:p>
      <w:pPr>
        <w:spacing w:line="360" w:lineRule="auto"/>
        <w:ind w:firstLine="480" w:firstLineChars="200"/>
        <w:rPr>
          <w:rFonts w:ascii="宋体" w:hAnsi="宋体" w:eastAsia="宋体"/>
          <w:dstrike/>
          <w:sz w:val="24"/>
          <w:highlight w:val="none"/>
        </w:rPr>
      </w:pPr>
      <w:r>
        <w:rPr>
          <w:rFonts w:hint="eastAsia" w:ascii="宋体" w:hAnsi="宋体" w:eastAsia="宋体"/>
          <w:sz w:val="24"/>
          <w:highlight w:val="none"/>
        </w:rPr>
        <w:t>根据贵方的</w:t>
      </w:r>
      <w:bookmarkStart w:id="165" w:name="_Hlk44287543"/>
      <w:r>
        <w:rPr>
          <w:rFonts w:hint="eastAsia" w:ascii="宋体" w:hAnsi="宋体" w:eastAsia="宋体"/>
          <w:sz w:val="24"/>
          <w:highlight w:val="none"/>
        </w:rPr>
        <w:t>竞争性磋商公告</w:t>
      </w:r>
      <w:bookmarkEnd w:id="165"/>
      <w:r>
        <w:rPr>
          <w:rFonts w:hint="eastAsia" w:ascii="宋体" w:hAnsi="宋体" w:eastAsia="宋体"/>
          <w:sz w:val="24"/>
          <w:highlight w:val="none"/>
        </w:rPr>
        <w:t>，我方兹宣布同意如下：</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2.我方根据本次磋商文件的规定，严格履行合同的责任和义务</w:t>
      </w:r>
      <w:r>
        <w:rPr>
          <w:rFonts w:ascii="宋体" w:hAnsi="宋体" w:eastAsia="宋体"/>
          <w:sz w:val="24"/>
          <w:highlight w:val="none"/>
        </w:rPr>
        <w:t>,</w:t>
      </w:r>
      <w:r>
        <w:rPr>
          <w:rFonts w:hint="eastAsia" w:ascii="宋体" w:hAnsi="宋体" w:eastAsia="宋体"/>
          <w:sz w:val="24"/>
          <w:highlight w:val="none"/>
        </w:rPr>
        <w:t>并保证于买方要求的日期内完成服务，并通过买方验收。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3.我方承诺报价低于</w:t>
      </w:r>
      <w:r>
        <w:rPr>
          <w:rFonts w:ascii="宋体" w:hAnsi="宋体" w:eastAsia="宋体"/>
          <w:sz w:val="24"/>
          <w:highlight w:val="none"/>
        </w:rPr>
        <w:t>同类</w:t>
      </w:r>
      <w:r>
        <w:rPr>
          <w:rFonts w:hint="eastAsia" w:ascii="宋体" w:hAnsi="宋体" w:eastAsia="宋体"/>
          <w:sz w:val="24"/>
          <w:highlight w:val="none"/>
        </w:rPr>
        <w:t>货物和</w:t>
      </w:r>
      <w:r>
        <w:rPr>
          <w:rFonts w:ascii="宋体" w:hAnsi="宋体" w:eastAsia="宋体"/>
          <w:sz w:val="24"/>
          <w:highlight w:val="none"/>
        </w:rPr>
        <w:t>服务的市场平均价格。</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highlight w:val="none"/>
          <w:lang w:val="zh-CN"/>
        </w:rPr>
        <w:t>，且承诺磋商保证金转出账户真实有效</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7.我方同意按贵方要求在磋商规定时间内向贵方提供与其磋商有关的任何证据或补充资料，否则，我方的响应文件可被贵方拒绝。</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8.我方完全理解贵方不一定接受最低报价的磋商。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9.我方同意磋商文件规定的付款方式、服务期限。</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10.我方对响应文件中所提供资料、文件、证书及证件的真实性和有效性负责。</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11.与本磋商有关的通讯地址：</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spacing w:line="360" w:lineRule="auto"/>
        <w:rPr>
          <w:rFonts w:ascii="宋体" w:hAnsi="宋体" w:eastAsia="宋体"/>
          <w:sz w:val="24"/>
          <w:highlight w:val="none"/>
          <w:u w:val="single"/>
        </w:rPr>
      </w:pP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四、无重大违法记录声明函、无不良信用记录声明函</w:t>
      </w:r>
    </w:p>
    <w:p>
      <w:pPr>
        <w:spacing w:line="360" w:lineRule="auto"/>
        <w:jc w:val="center"/>
        <w:rPr>
          <w:rFonts w:ascii="宋体" w:hAnsi="宋体" w:eastAsia="宋体"/>
          <w:b/>
          <w:i/>
          <w:sz w:val="24"/>
          <w:highlight w:val="none"/>
        </w:rPr>
      </w:pPr>
      <w:r>
        <w:rPr>
          <w:rFonts w:ascii="宋体" w:hAnsi="宋体" w:eastAsia="宋体"/>
          <w:b/>
          <w:i/>
          <w:sz w:val="24"/>
          <w:highlight w:val="none"/>
        </w:rPr>
        <w:t>(</w:t>
      </w:r>
      <w:r>
        <w:rPr>
          <w:rFonts w:hint="eastAsia" w:ascii="宋体" w:hAnsi="宋体" w:eastAsia="宋体"/>
          <w:b/>
          <w:i/>
          <w:sz w:val="24"/>
          <w:highlight w:val="none"/>
        </w:rPr>
        <w:t>联合体参加磋商的，联合体双方均须提供）</w:t>
      </w:r>
    </w:p>
    <w:p>
      <w:pPr>
        <w:spacing w:line="440" w:lineRule="exact"/>
        <w:ind w:firstLine="435"/>
        <w:rPr>
          <w:rFonts w:ascii="宋体" w:hAnsi="宋体" w:eastAsia="宋体"/>
          <w:sz w:val="24"/>
          <w:szCs w:val="24"/>
          <w:highlight w:val="none"/>
        </w:rPr>
      </w:pPr>
      <w:r>
        <w:rPr>
          <w:rFonts w:hint="eastAsia" w:ascii="宋体" w:hAnsi="宋体" w:eastAsia="宋体"/>
          <w:sz w:val="24"/>
          <w:szCs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2.本单位郑重声明，我单位无以下不良信用记录情形：</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（1）被人民法院列入失信被执行人；</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（3）被工商行政管理部门列入企业经营异常名录；</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（4）被税务部门列入重大税收违法案件当事人名单；</w:t>
      </w:r>
    </w:p>
    <w:p>
      <w:pPr>
        <w:spacing w:line="440" w:lineRule="exact"/>
        <w:ind w:firstLine="435"/>
        <w:rPr>
          <w:rFonts w:ascii="宋体" w:hAnsi="宋体" w:eastAsia="宋体"/>
          <w:sz w:val="24"/>
          <w:szCs w:val="24"/>
          <w:highlight w:val="none"/>
        </w:rPr>
      </w:pPr>
      <w:r>
        <w:rPr>
          <w:rFonts w:hint="eastAsia" w:asciiTheme="minorEastAsia" w:hAnsiTheme="minorEastAsia" w:eastAsiaTheme="minorEastAsia"/>
          <w:sz w:val="24"/>
          <w:szCs w:val="24"/>
          <w:highlight w:val="none"/>
        </w:rPr>
        <w:t>（5）被政府采购监管部门列入政府采购严重违法失信行为记录</w:t>
      </w:r>
      <w:r>
        <w:rPr>
          <w:rFonts w:hint="eastAsia" w:ascii="宋体" w:hAnsi="宋体" w:eastAsia="宋体"/>
          <w:sz w:val="24"/>
          <w:szCs w:val="24"/>
          <w:highlight w:val="none"/>
        </w:rPr>
        <w:t>名单。</w:t>
      </w:r>
    </w:p>
    <w:p>
      <w:pPr>
        <w:spacing w:line="440" w:lineRule="exact"/>
        <w:ind w:firstLine="435"/>
        <w:rPr>
          <w:rFonts w:hint="eastAsia" w:ascii="宋体" w:hAnsi="宋体" w:eastAsia="宋体"/>
          <w:sz w:val="24"/>
          <w:szCs w:val="24"/>
          <w:highlight w:val="none"/>
          <w:u w:val="none"/>
        </w:rPr>
      </w:pPr>
      <w:r>
        <w:rPr>
          <w:rFonts w:hint="eastAsia" w:ascii="宋体" w:hAnsi="宋体" w:eastAsia="宋体" w:cs="宋体"/>
          <w:sz w:val="24"/>
          <w:szCs w:val="24"/>
          <w:highlight w:val="none"/>
        </w:rPr>
        <w:t>3.</w:t>
      </w:r>
      <w:r>
        <w:rPr>
          <w:rFonts w:hint="eastAsia" w:ascii="宋体" w:hAnsi="宋体" w:eastAsia="宋体"/>
          <w:sz w:val="24"/>
          <w:szCs w:val="24"/>
          <w:highlight w:val="none"/>
          <w:u w:val="none"/>
        </w:rPr>
        <w:t xml:space="preserve">本公司郑重声明，符合下列情形之一： </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（1）开标日前（含当日）6个月内记分累计未满10分的；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（2）开标日前（含当日）12个月内记分累计未满15分的；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（3）开标日前（含当日）18个月内记分累计未满20分的；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（4）开标日前（含当日）24个月内记分累计未满25分的。</w:t>
      </w:r>
    </w:p>
    <w:p>
      <w:pPr>
        <w:spacing w:line="360" w:lineRule="auto"/>
        <w:ind w:firstLine="435"/>
        <w:rPr>
          <w:rFonts w:ascii="宋体" w:hAnsi="宋体" w:eastAsia="宋体"/>
          <w:sz w:val="24"/>
          <w:highlight w:val="none"/>
        </w:rPr>
      </w:pPr>
    </w:p>
    <w:p>
      <w:pPr>
        <w:spacing w:line="440" w:lineRule="exact"/>
        <w:ind w:firstLine="435"/>
        <w:rPr>
          <w:rFonts w:ascii="宋体" w:hAnsi="宋体" w:eastAsia="宋体"/>
          <w:sz w:val="24"/>
          <w:szCs w:val="24"/>
          <w:highlight w:val="none"/>
        </w:rPr>
      </w:pPr>
      <w:r>
        <w:rPr>
          <w:rFonts w:hint="eastAsia" w:ascii="宋体" w:hAnsi="宋体" w:eastAsia="宋体"/>
          <w:sz w:val="24"/>
          <w:highlight w:val="none"/>
        </w:rPr>
        <w:t>本单位对</w:t>
      </w:r>
      <w:r>
        <w:rPr>
          <w:rFonts w:hint="eastAsia" w:asciiTheme="minorEastAsia" w:hAnsiTheme="minorEastAsia" w:eastAsiaTheme="minorEastAsia"/>
          <w:sz w:val="24"/>
          <w:highlight w:val="none"/>
        </w:rPr>
        <w:t>上述</w:t>
      </w:r>
      <w:r>
        <w:rPr>
          <w:rFonts w:hint="eastAsia" w:ascii="宋体" w:hAnsi="宋体" w:eastAsia="宋体"/>
          <w:sz w:val="24"/>
          <w:highlight w:val="none"/>
        </w:rPr>
        <w:t>声明的真实性负责。如有虚假，将依法承担相应责任。</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spacing w:line="360" w:lineRule="auto"/>
        <w:jc w:val="center"/>
        <w:outlineLvl w:val="2"/>
        <w:rPr>
          <w:rFonts w:asciiTheme="minorEastAsia" w:hAnsiTheme="minorEastAsia" w:eastAsiaTheme="minorEastAsia"/>
          <w:b/>
          <w:sz w:val="24"/>
          <w:highlight w:val="none"/>
        </w:rPr>
      </w:pPr>
      <w:bookmarkStart w:id="166" w:name="_Toc520983594"/>
      <w:bookmarkStart w:id="167" w:name="_Toc204594911"/>
      <w:bookmarkStart w:id="168" w:name="_Toc121626298"/>
      <w:bookmarkStart w:id="169" w:name="_Toc516969106"/>
      <w:r>
        <w:rPr>
          <w:rFonts w:hint="eastAsia" w:asciiTheme="minorEastAsia" w:hAnsiTheme="minorEastAsia" w:eastAsiaTheme="minorEastAsia"/>
          <w:b/>
          <w:sz w:val="24"/>
          <w:highlight w:val="none"/>
        </w:rPr>
        <w:t>五、授权书</w:t>
      </w:r>
      <w:bookmarkEnd w:id="166"/>
      <w:bookmarkEnd w:id="167"/>
      <w:bookmarkEnd w:id="168"/>
      <w:bookmarkEnd w:id="169"/>
    </w:p>
    <w:p>
      <w:pPr>
        <w:pStyle w:val="12"/>
        <w:snapToGrid w:val="0"/>
        <w:spacing w:line="360" w:lineRule="auto"/>
        <w:ind w:firstLine="482" w:firstLineChars="200"/>
        <w:jc w:val="left"/>
        <w:rPr>
          <w:rFonts w:asciiTheme="minorEastAsia" w:hAnsiTheme="minorEastAsia"/>
          <w:b/>
          <w:sz w:val="24"/>
          <w:highlight w:val="none"/>
        </w:rPr>
      </w:pPr>
    </w:p>
    <w:p>
      <w:pPr>
        <w:pStyle w:val="12"/>
        <w:snapToGrid w:val="0"/>
        <w:spacing w:line="360" w:lineRule="auto"/>
        <w:ind w:firstLine="480" w:firstLineChars="200"/>
        <w:jc w:val="left"/>
        <w:rPr>
          <w:rFonts w:hAnsi="宋体" w:eastAsia="宋体"/>
          <w:sz w:val="24"/>
          <w:szCs w:val="28"/>
          <w:highlight w:val="none"/>
        </w:rPr>
      </w:pPr>
      <w:r>
        <w:rPr>
          <w:rFonts w:hint="eastAsia" w:hAnsi="宋体" w:eastAsia="宋体"/>
          <w:sz w:val="24"/>
          <w:szCs w:val="28"/>
          <w:highlight w:val="none"/>
        </w:rPr>
        <w:t>本授权书声明：</w:t>
      </w:r>
      <w:r>
        <w:rPr>
          <w:rFonts w:hint="eastAsia" w:hAnsi="宋体" w:eastAsia="宋体"/>
          <w:sz w:val="24"/>
          <w:szCs w:val="28"/>
          <w:highlight w:val="none"/>
          <w:u w:val="single"/>
        </w:rPr>
        <w:t xml:space="preserve">           </w:t>
      </w:r>
      <w:r>
        <w:rPr>
          <w:rFonts w:hint="eastAsia" w:hAnsi="宋体" w:eastAsia="宋体"/>
          <w:sz w:val="24"/>
          <w:szCs w:val="28"/>
          <w:highlight w:val="none"/>
        </w:rPr>
        <w:t>（供应商名称）授权</w:t>
      </w:r>
      <w:r>
        <w:rPr>
          <w:rFonts w:hint="eastAsia" w:hAnsi="宋体" w:eastAsia="宋体"/>
          <w:sz w:val="24"/>
          <w:szCs w:val="28"/>
          <w:highlight w:val="none"/>
          <w:u w:val="single"/>
        </w:rPr>
        <w:t xml:space="preserve">       </w:t>
      </w:r>
      <w:r>
        <w:rPr>
          <w:rFonts w:hint="eastAsia" w:hAnsi="宋体" w:eastAsia="宋体"/>
          <w:sz w:val="24"/>
          <w:szCs w:val="28"/>
          <w:highlight w:val="none"/>
        </w:rPr>
        <w:t>（供应商授权代表姓名、职务）代表我方参加本项目</w:t>
      </w:r>
      <w:r>
        <w:rPr>
          <w:rFonts w:hint="eastAsia" w:hAnsi="宋体" w:eastAsia="宋体"/>
          <w:bCs/>
          <w:sz w:val="24"/>
          <w:szCs w:val="28"/>
          <w:highlight w:val="none"/>
        </w:rPr>
        <w:t>采购活动</w:t>
      </w:r>
      <w:r>
        <w:rPr>
          <w:rFonts w:hint="eastAsia" w:hAnsi="宋体" w:eastAsia="宋体"/>
          <w:sz w:val="24"/>
          <w:szCs w:val="28"/>
          <w:highlight w:val="none"/>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2"/>
        <w:snapToGrid w:val="0"/>
        <w:spacing w:line="360" w:lineRule="auto"/>
        <w:ind w:firstLine="480" w:firstLineChars="200"/>
        <w:jc w:val="left"/>
        <w:rPr>
          <w:rFonts w:hAnsi="宋体" w:eastAsia="宋体"/>
          <w:sz w:val="24"/>
          <w:szCs w:val="28"/>
          <w:highlight w:val="none"/>
        </w:rPr>
      </w:pPr>
      <w:r>
        <w:rPr>
          <w:rFonts w:hint="eastAsia" w:hAnsi="宋体" w:eastAsia="宋体"/>
          <w:sz w:val="24"/>
          <w:szCs w:val="28"/>
          <w:highlight w:val="none"/>
        </w:rPr>
        <w:t>本授权书自出具之日起生效。</w:t>
      </w:r>
    </w:p>
    <w:p>
      <w:pPr>
        <w:pStyle w:val="12"/>
        <w:snapToGrid w:val="0"/>
        <w:spacing w:line="360" w:lineRule="auto"/>
        <w:ind w:firstLine="480" w:firstLineChars="200"/>
        <w:jc w:val="left"/>
        <w:rPr>
          <w:rFonts w:hAnsi="宋体" w:eastAsia="宋体"/>
          <w:sz w:val="24"/>
          <w:highlight w:val="none"/>
        </w:rPr>
      </w:pPr>
      <w:r>
        <w:rPr>
          <w:rFonts w:hint="eastAsia" w:hAnsi="宋体" w:eastAsia="宋体"/>
          <w:sz w:val="24"/>
          <w:szCs w:val="28"/>
          <w:highlight w:val="none"/>
        </w:rPr>
        <w:t>授权代表</w:t>
      </w:r>
      <w:r>
        <w:rPr>
          <w:rFonts w:hint="eastAsia" w:hAnsi="宋体" w:eastAsia="宋体"/>
          <w:sz w:val="24"/>
          <w:highlight w:val="none"/>
        </w:rPr>
        <w:t>身份证明扫描件：</w:t>
      </w:r>
    </w:p>
    <w:p>
      <w:pPr>
        <w:pStyle w:val="12"/>
        <w:snapToGrid w:val="0"/>
        <w:spacing w:line="360" w:lineRule="auto"/>
        <w:ind w:firstLine="480" w:firstLineChars="200"/>
        <w:jc w:val="left"/>
        <w:rPr>
          <w:rFonts w:hAnsi="宋体" w:eastAsia="宋体"/>
          <w:sz w:val="24"/>
          <w:highlight w:val="none"/>
        </w:rPr>
      </w:pPr>
    </w:p>
    <w:p>
      <w:pPr>
        <w:pStyle w:val="12"/>
        <w:snapToGrid w:val="0"/>
        <w:spacing w:line="360" w:lineRule="auto"/>
        <w:ind w:firstLine="480" w:firstLineChars="200"/>
        <w:jc w:val="left"/>
        <w:rPr>
          <w:rFonts w:hAnsi="宋体" w:eastAsia="宋体"/>
          <w:sz w:val="24"/>
          <w:highlight w:val="none"/>
        </w:rPr>
      </w:pPr>
    </w:p>
    <w:p>
      <w:pPr>
        <w:pStyle w:val="12"/>
        <w:snapToGrid w:val="0"/>
        <w:spacing w:line="360" w:lineRule="auto"/>
        <w:ind w:firstLine="480" w:firstLineChars="200"/>
        <w:jc w:val="left"/>
        <w:rPr>
          <w:rFonts w:hAnsi="宋体" w:eastAsia="宋体"/>
          <w:sz w:val="24"/>
          <w:highlight w:val="none"/>
        </w:rPr>
      </w:pPr>
    </w:p>
    <w:p>
      <w:pPr>
        <w:pStyle w:val="12"/>
        <w:snapToGrid w:val="0"/>
        <w:spacing w:line="360" w:lineRule="auto"/>
        <w:ind w:firstLine="480" w:firstLineChars="200"/>
        <w:jc w:val="left"/>
        <w:rPr>
          <w:rFonts w:hAnsi="宋体" w:eastAsia="宋体"/>
          <w:sz w:val="24"/>
          <w:highlight w:val="none"/>
        </w:rPr>
      </w:pPr>
    </w:p>
    <w:p>
      <w:pPr>
        <w:pStyle w:val="12"/>
        <w:snapToGrid w:val="0"/>
        <w:spacing w:line="360" w:lineRule="auto"/>
        <w:ind w:firstLine="480" w:firstLineChars="200"/>
        <w:jc w:val="left"/>
        <w:rPr>
          <w:rFonts w:hAnsi="宋体" w:eastAsia="宋体"/>
          <w:sz w:val="24"/>
          <w:szCs w:val="28"/>
          <w:highlight w:val="none"/>
          <w:u w:val="single"/>
        </w:rPr>
      </w:pPr>
      <w:r>
        <w:rPr>
          <w:rFonts w:hint="eastAsia" w:hAnsi="宋体" w:eastAsia="宋体"/>
          <w:sz w:val="24"/>
          <w:szCs w:val="28"/>
          <w:highlight w:val="none"/>
        </w:rPr>
        <w:t>授权代表联系方式：</w:t>
      </w:r>
      <w:r>
        <w:rPr>
          <w:rFonts w:hint="eastAsia" w:hAnsi="宋体" w:eastAsia="宋体"/>
          <w:sz w:val="24"/>
          <w:szCs w:val="28"/>
          <w:highlight w:val="none"/>
          <w:u w:val="single"/>
        </w:rPr>
        <w:t xml:space="preserve">          （请填写手机号码）</w:t>
      </w:r>
    </w:p>
    <w:p>
      <w:pPr>
        <w:pStyle w:val="12"/>
        <w:snapToGrid w:val="0"/>
        <w:spacing w:line="360" w:lineRule="auto"/>
        <w:ind w:firstLine="480" w:firstLineChars="200"/>
        <w:jc w:val="left"/>
        <w:rPr>
          <w:rFonts w:hAnsi="宋体" w:eastAsia="宋体"/>
          <w:sz w:val="24"/>
          <w:szCs w:val="28"/>
          <w:highlight w:val="none"/>
        </w:rPr>
      </w:pPr>
    </w:p>
    <w:p>
      <w:pPr>
        <w:spacing w:line="360" w:lineRule="auto"/>
        <w:ind w:firstLine="360" w:firstLineChars="150"/>
        <w:rPr>
          <w:rFonts w:ascii="宋体" w:hAnsi="宋体" w:eastAsia="宋体"/>
          <w:sz w:val="24"/>
          <w:szCs w:val="28"/>
          <w:highlight w:val="none"/>
        </w:rPr>
      </w:pPr>
      <w:r>
        <w:rPr>
          <w:rFonts w:hint="eastAsia" w:ascii="宋体" w:hAnsi="宋体" w:eastAsia="宋体"/>
          <w:sz w:val="24"/>
          <w:szCs w:val="28"/>
          <w:highlight w:val="none"/>
        </w:rPr>
        <w:t>特此声明。</w:t>
      </w:r>
    </w:p>
    <w:p>
      <w:pPr>
        <w:spacing w:line="360" w:lineRule="auto"/>
        <w:rPr>
          <w:rFonts w:ascii="宋体" w:hAnsi="宋体" w:eastAsia="宋体"/>
          <w:sz w:val="24"/>
          <w:szCs w:val="28"/>
          <w:highlight w:val="none"/>
        </w:rPr>
      </w:pPr>
    </w:p>
    <w:p>
      <w:pPr>
        <w:spacing w:line="360" w:lineRule="auto"/>
        <w:ind w:firstLine="424" w:firstLineChars="177"/>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24" w:firstLineChars="177"/>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spacing w:line="360" w:lineRule="auto"/>
        <w:jc w:val="left"/>
        <w:rPr>
          <w:rFonts w:ascii="宋体" w:hAnsi="宋体" w:eastAsia="宋体"/>
          <w:sz w:val="24"/>
          <w:szCs w:val="28"/>
          <w:highlight w:val="none"/>
        </w:rPr>
      </w:pPr>
    </w:p>
    <w:p>
      <w:pPr>
        <w:spacing w:line="360" w:lineRule="auto"/>
        <w:rPr>
          <w:rFonts w:ascii="宋体" w:hAnsi="宋体" w:eastAsia="宋体"/>
          <w:sz w:val="24"/>
          <w:szCs w:val="28"/>
          <w:highlight w:val="none"/>
        </w:rPr>
      </w:pPr>
    </w:p>
    <w:p>
      <w:pPr>
        <w:pStyle w:val="12"/>
        <w:snapToGrid w:val="0"/>
        <w:spacing w:line="360" w:lineRule="auto"/>
        <w:jc w:val="left"/>
        <w:rPr>
          <w:rFonts w:hAnsi="宋体" w:eastAsia="宋体"/>
          <w:sz w:val="24"/>
          <w:szCs w:val="28"/>
          <w:highlight w:val="none"/>
        </w:rPr>
      </w:pPr>
      <w:r>
        <w:rPr>
          <w:rFonts w:hint="eastAsia" w:hAnsi="宋体" w:eastAsia="宋体"/>
          <w:sz w:val="24"/>
          <w:szCs w:val="28"/>
          <w:highlight w:val="none"/>
        </w:rPr>
        <w:t>注：</w:t>
      </w:r>
    </w:p>
    <w:p>
      <w:pPr>
        <w:pStyle w:val="12"/>
        <w:snapToGrid w:val="0"/>
        <w:spacing w:line="360" w:lineRule="auto"/>
        <w:jc w:val="left"/>
        <w:rPr>
          <w:rFonts w:hAnsi="宋体" w:eastAsia="宋体"/>
          <w:sz w:val="24"/>
          <w:szCs w:val="28"/>
          <w:highlight w:val="none"/>
        </w:rPr>
      </w:pPr>
      <w:r>
        <w:rPr>
          <w:rFonts w:hint="eastAsia" w:hAnsi="宋体" w:eastAsia="宋体"/>
          <w:sz w:val="24"/>
          <w:szCs w:val="28"/>
          <w:highlight w:val="none"/>
        </w:rPr>
        <w:t>1.本项目只允许有唯一的供应商授权代表，提供身份证明扫描件或影印件；</w:t>
      </w:r>
    </w:p>
    <w:p>
      <w:pPr>
        <w:spacing w:line="360" w:lineRule="auto"/>
        <w:jc w:val="left"/>
        <w:rPr>
          <w:rFonts w:asciiTheme="minorEastAsia" w:hAnsiTheme="minorEastAsia" w:eastAsiaTheme="minorEastAsia"/>
          <w:b/>
          <w:sz w:val="24"/>
          <w:highlight w:val="none"/>
        </w:rPr>
      </w:pPr>
      <w:r>
        <w:rPr>
          <w:rFonts w:hint="eastAsia" w:ascii="宋体" w:hAnsi="宋体" w:eastAsia="宋体"/>
          <w:sz w:val="24"/>
          <w:highlight w:val="none"/>
        </w:rPr>
        <w:t>2.法定代表人参加磋商的无需提供授权书，仅提供身份证明</w:t>
      </w:r>
      <w:r>
        <w:rPr>
          <w:rFonts w:hint="eastAsia" w:hAnsi="宋体" w:eastAsia="宋体"/>
          <w:sz w:val="24"/>
          <w:szCs w:val="28"/>
          <w:highlight w:val="none"/>
        </w:rPr>
        <w:t>扫描件或影印件</w:t>
      </w:r>
      <w:r>
        <w:rPr>
          <w:rFonts w:hint="eastAsia" w:ascii="宋体" w:hAnsi="宋体" w:eastAsia="宋体"/>
          <w:sz w:val="24"/>
          <w:highlight w:val="none"/>
        </w:rPr>
        <w:t>。</w:t>
      </w:r>
    </w:p>
    <w:p>
      <w:pPr>
        <w:spacing w:line="360" w:lineRule="auto"/>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六、磋商响应表</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商务响应表</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2"/>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916" w:type="dxa"/>
            <w:vAlign w:val="center"/>
          </w:tcPr>
          <w:p>
            <w:pPr>
              <w:pStyle w:val="12"/>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2497" w:type="dxa"/>
            <w:vAlign w:val="center"/>
          </w:tcPr>
          <w:p>
            <w:pPr>
              <w:pStyle w:val="12"/>
              <w:jc w:val="center"/>
              <w:rPr>
                <w:rFonts w:cs="Wingdings" w:asciiTheme="minorEastAsia" w:hAnsiTheme="minorEastAsia"/>
                <w:b/>
                <w:sz w:val="24"/>
                <w:highlight w:val="none"/>
              </w:rPr>
            </w:pPr>
            <w:r>
              <w:rPr>
                <w:rFonts w:hint="eastAsia" w:cs="Wingdings" w:asciiTheme="minorEastAsia" w:hAnsiTheme="minorEastAsia"/>
                <w:b/>
                <w:sz w:val="24"/>
                <w:highlight w:val="none"/>
              </w:rPr>
              <w:t>磋商文件要求</w:t>
            </w:r>
          </w:p>
        </w:tc>
        <w:tc>
          <w:tcPr>
            <w:tcW w:w="2575" w:type="dxa"/>
            <w:vAlign w:val="center"/>
          </w:tcPr>
          <w:p>
            <w:pPr>
              <w:pStyle w:val="12"/>
              <w:jc w:val="center"/>
              <w:rPr>
                <w:rFonts w:cs="Wingdings" w:asciiTheme="minorEastAsia" w:hAnsiTheme="minorEastAsia"/>
                <w:b/>
                <w:sz w:val="24"/>
                <w:highlight w:val="none"/>
              </w:rPr>
            </w:pPr>
            <w:r>
              <w:rPr>
                <w:rFonts w:hint="eastAsia" w:cs="Wingdings" w:asciiTheme="minorEastAsia" w:hAnsiTheme="minorEastAsia"/>
                <w:b/>
                <w:sz w:val="24"/>
                <w:highlight w:val="none"/>
              </w:rPr>
              <w:t>供应商承诺</w:t>
            </w:r>
          </w:p>
        </w:tc>
        <w:tc>
          <w:tcPr>
            <w:tcW w:w="810" w:type="dxa"/>
            <w:vAlign w:val="center"/>
          </w:tcPr>
          <w:p>
            <w:pPr>
              <w:pStyle w:val="12"/>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916" w:type="dxa"/>
            <w:vAlign w:val="center"/>
          </w:tcPr>
          <w:p>
            <w:pPr>
              <w:jc w:val="center"/>
              <w:rPr>
                <w:rFonts w:ascii="宋体" w:hAnsi="宋体" w:eastAsia="宋体"/>
                <w:sz w:val="24"/>
                <w:highlight w:val="none"/>
              </w:rPr>
            </w:pPr>
            <w:r>
              <w:rPr>
                <w:rFonts w:asciiTheme="minorEastAsia" w:hAnsiTheme="minorEastAsia" w:eastAsiaTheme="minorEastAsia"/>
                <w:sz w:val="24"/>
                <w:highlight w:val="none"/>
              </w:rPr>
              <w:t>付款方式</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916" w:type="dxa"/>
            <w:vAlign w:val="center"/>
          </w:tcPr>
          <w:p>
            <w:pPr>
              <w:jc w:val="center"/>
              <w:rPr>
                <w:rFonts w:hint="eastAsia" w:ascii="宋体" w:hAnsi="宋体" w:eastAsia="宋体"/>
                <w:sz w:val="24"/>
                <w:highlight w:val="none"/>
                <w:lang w:eastAsia="zh-CN"/>
              </w:rPr>
            </w:pPr>
            <w:r>
              <w:rPr>
                <w:rFonts w:hint="eastAsia" w:ascii="宋体" w:hAnsi="宋体" w:eastAsia="宋体"/>
                <w:sz w:val="24"/>
                <w:highlight w:val="none"/>
                <w:lang w:eastAsia="zh-CN"/>
              </w:rPr>
              <w:t>供货及安装地点</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916" w:type="dxa"/>
            <w:vAlign w:val="center"/>
          </w:tcPr>
          <w:p>
            <w:pPr>
              <w:jc w:val="center"/>
              <w:rPr>
                <w:rFonts w:hint="eastAsia" w:ascii="宋体" w:hAnsi="宋体" w:eastAsia="宋体"/>
                <w:sz w:val="24"/>
                <w:highlight w:val="none"/>
                <w:lang w:eastAsia="zh-CN"/>
              </w:rPr>
            </w:pPr>
            <w:r>
              <w:rPr>
                <w:rFonts w:hint="eastAsia" w:ascii="宋体" w:hAnsi="宋体" w:eastAsia="宋体"/>
                <w:sz w:val="24"/>
                <w:highlight w:val="none"/>
                <w:lang w:eastAsia="zh-CN"/>
              </w:rPr>
              <w:t>供货及安装期限</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pStyle w:val="42"/>
              <w:jc w:val="center"/>
              <w:rPr>
                <w:rFonts w:asciiTheme="minorEastAsia" w:hAnsiTheme="minorEastAsia" w:eastAsiaTheme="minorEastAsia"/>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916" w:type="dxa"/>
            <w:vAlign w:val="center"/>
          </w:tcPr>
          <w:p>
            <w:pPr>
              <w:jc w:val="center"/>
              <w:rPr>
                <w:rFonts w:ascii="宋体" w:hAnsi="宋体" w:eastAsia="宋体"/>
                <w:sz w:val="24"/>
                <w:highlight w:val="none"/>
              </w:rPr>
            </w:pPr>
            <w:r>
              <w:rPr>
                <w:rFonts w:hint="eastAsia" w:ascii="宋体" w:hAnsi="宋体" w:eastAsia="宋体"/>
                <w:sz w:val="24"/>
                <w:highlight w:val="none"/>
              </w:rPr>
              <w:t>免费质保期</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916" w:type="dxa"/>
            <w:vAlign w:val="center"/>
          </w:tcPr>
          <w:p>
            <w:pPr>
              <w:jc w:val="center"/>
              <w:rPr>
                <w:rFonts w:ascii="宋体" w:hAnsi="宋体" w:eastAsia="宋体"/>
                <w:sz w:val="24"/>
                <w:highlight w:val="none"/>
              </w:rPr>
            </w:pP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bl>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技术响应表</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560"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2863"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磋商文件规定的技术参数要求</w:t>
            </w:r>
          </w:p>
        </w:tc>
        <w:tc>
          <w:tcPr>
            <w:tcW w:w="2482"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所投产品的品牌、型号及技术参数</w:t>
            </w:r>
          </w:p>
        </w:tc>
        <w:tc>
          <w:tcPr>
            <w:tcW w:w="856"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2"/>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2"/>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bl>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6</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货物说明一览表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99"/>
        <w:gridCol w:w="1521"/>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1" w:type="pct"/>
            <w:vAlign w:val="center"/>
          </w:tcPr>
          <w:p>
            <w:pPr>
              <w:pStyle w:val="12"/>
              <w:jc w:val="center"/>
              <w:rPr>
                <w:rFonts w:cs="Wingdings" w:asciiTheme="minorEastAsia" w:hAnsiTheme="minorEastAsia"/>
                <w:b/>
                <w:sz w:val="24"/>
                <w:highlight w:val="none"/>
              </w:rPr>
            </w:pPr>
            <w:r>
              <w:rPr>
                <w:rFonts w:hint="eastAsia" w:asciiTheme="minorEastAsia" w:hAnsiTheme="minorEastAsia"/>
                <w:b/>
                <w:bCs/>
                <w:sz w:val="24"/>
                <w:szCs w:val="24"/>
                <w:highlight w:val="none"/>
              </w:rPr>
              <w:t>货物名称</w:t>
            </w:r>
          </w:p>
        </w:tc>
        <w:tc>
          <w:tcPr>
            <w:tcW w:w="1524" w:type="pct"/>
            <w:vAlign w:val="center"/>
          </w:tcPr>
          <w:p>
            <w:pPr>
              <w:pStyle w:val="12"/>
              <w:jc w:val="center"/>
              <w:rPr>
                <w:rFonts w:cs="Wingdings" w:asciiTheme="minorEastAsia" w:hAnsiTheme="minorEastAsia"/>
                <w:b/>
                <w:sz w:val="24"/>
                <w:highlight w:val="none"/>
              </w:rPr>
            </w:pPr>
          </w:p>
        </w:tc>
        <w:tc>
          <w:tcPr>
            <w:tcW w:w="892" w:type="pct"/>
            <w:vAlign w:val="center"/>
          </w:tcPr>
          <w:p>
            <w:pPr>
              <w:pStyle w:val="12"/>
              <w:jc w:val="center"/>
              <w:rPr>
                <w:rFonts w:cs="Wingdings" w:asciiTheme="minorEastAsia" w:hAnsiTheme="minorEastAsia"/>
                <w:b/>
                <w:sz w:val="24"/>
                <w:highlight w:val="none"/>
              </w:rPr>
            </w:pPr>
            <w:r>
              <w:rPr>
                <w:rFonts w:hint="eastAsia" w:asciiTheme="minorEastAsia" w:hAnsiTheme="minorEastAsia"/>
                <w:b/>
                <w:bCs/>
                <w:sz w:val="24"/>
                <w:szCs w:val="24"/>
                <w:highlight w:val="none"/>
              </w:rPr>
              <w:t>品牌型号</w:t>
            </w:r>
          </w:p>
        </w:tc>
        <w:tc>
          <w:tcPr>
            <w:tcW w:w="1750" w:type="pct"/>
            <w:vAlign w:val="center"/>
          </w:tcPr>
          <w:p>
            <w:pPr>
              <w:pStyle w:val="12"/>
              <w:jc w:val="center"/>
              <w:rPr>
                <w:rFonts w:cs="Wingdings" w:asciiTheme="minorEastAsia" w:hAnsi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5000" w:type="pct"/>
            <w:gridSpan w:val="4"/>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所投产品的偏离说明：</w:t>
            </w:r>
          </w:p>
        </w:tc>
      </w:tr>
    </w:tbl>
    <w:p>
      <w:pPr>
        <w:pStyle w:val="13"/>
        <w:spacing w:line="360" w:lineRule="auto"/>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lang w:eastAsia="zh-CN"/>
        </w:rPr>
        <w:t>供应商公章</w:t>
      </w:r>
      <w:r>
        <w:rPr>
          <w:rFonts w:hint="eastAsia" w:asciiTheme="minorEastAsia" w:hAnsiTheme="minorEastAsia" w:eastAsiaTheme="minorEastAsia"/>
          <w:b w:val="0"/>
          <w:sz w:val="24"/>
          <w:highlight w:val="none"/>
        </w:rPr>
        <w:t>：</w:t>
      </w:r>
    </w:p>
    <w:p>
      <w:pPr>
        <w:pStyle w:val="13"/>
        <w:spacing w:line="360" w:lineRule="auto"/>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br w:type="page"/>
      </w:r>
    </w:p>
    <w:p>
      <w:pPr>
        <w:spacing w:line="360" w:lineRule="auto"/>
        <w:jc w:val="center"/>
        <w:outlineLvl w:val="2"/>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rPr>
        <w:t>七、供货及安装方案</w:t>
      </w:r>
    </w:p>
    <w:p>
      <w:pPr>
        <w:jc w:val="center"/>
        <w:rPr>
          <w:rFonts w:hint="eastAsia" w:asciiTheme="minorEastAsia" w:hAnsiTheme="minorEastAsia" w:eastAsiaTheme="minorEastAsia"/>
          <w:b/>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供应商</w:t>
      </w:r>
      <w:r>
        <w:rPr>
          <w:rFonts w:asciiTheme="minorEastAsia" w:hAnsiTheme="minorEastAsia" w:eastAsiaTheme="minorEastAsia"/>
          <w:i/>
          <w:sz w:val="24"/>
          <w:highlight w:val="none"/>
        </w:rPr>
        <w:t>可自行制作格式)</w:t>
      </w:r>
      <w:r>
        <w:rPr>
          <w:rFonts w:hint="eastAsia" w:asciiTheme="minorEastAsia" w:hAnsiTheme="minorEastAsia" w:eastAsiaTheme="minorEastAsia"/>
          <w:b/>
          <w:sz w:val="24"/>
          <w:highlight w:val="none"/>
        </w:rPr>
        <w:br w:type="page"/>
      </w:r>
    </w:p>
    <w:p>
      <w:pPr>
        <w:spacing w:line="360" w:lineRule="auto"/>
        <w:jc w:val="center"/>
        <w:outlineLvl w:val="2"/>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lang w:val="en-US" w:eastAsia="zh-CN"/>
        </w:rPr>
        <w:t>八</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eastAsia="zh-CN"/>
        </w:rPr>
        <w:t>售后服务方案</w:t>
      </w:r>
    </w:p>
    <w:p>
      <w:pPr>
        <w:spacing w:line="360" w:lineRule="auto"/>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供应商</w:t>
      </w:r>
      <w:r>
        <w:rPr>
          <w:rFonts w:asciiTheme="minorEastAsia" w:hAnsiTheme="minorEastAsia" w:eastAsiaTheme="minorEastAsia"/>
          <w:i/>
          <w:sz w:val="24"/>
          <w:highlight w:val="none"/>
        </w:rPr>
        <w:t>可自行制作格式)</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九</w:t>
      </w:r>
      <w:r>
        <w:rPr>
          <w:rFonts w:hint="eastAsia" w:asciiTheme="minorEastAsia" w:hAnsiTheme="minorEastAsia" w:eastAsiaTheme="minorEastAsia"/>
          <w:b/>
          <w:sz w:val="24"/>
          <w:highlight w:val="none"/>
        </w:rPr>
        <w:t>、磋商业绩承诺函</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highlight w:val="none"/>
        </w:rPr>
      </w:pPr>
    </w:p>
    <w:p>
      <w:pPr>
        <w:spacing w:line="360" w:lineRule="auto"/>
        <w:ind w:firstLine="4228" w:firstLineChars="1762"/>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lang w:eastAsia="zh-CN"/>
        </w:rPr>
        <w:t>供应商公章</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 xml:space="preserve">日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期：</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tabs>
          <w:tab w:val="left" w:pos="630"/>
        </w:tabs>
        <w:spacing w:line="360" w:lineRule="auto"/>
        <w:ind w:firstLine="3700" w:firstLineChars="1762"/>
        <w:rPr>
          <w:rFonts w:asciiTheme="minorEastAsia" w:hAnsiTheme="minorEastAsia" w:eastAsiaTheme="minorEastAsia"/>
          <w:highlight w:val="none"/>
        </w:rPr>
      </w:pP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序号</w:t>
            </w:r>
          </w:p>
        </w:tc>
        <w:tc>
          <w:tcPr>
            <w:tcW w:w="2409"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项目名称</w:t>
            </w:r>
          </w:p>
        </w:tc>
        <w:tc>
          <w:tcPr>
            <w:tcW w:w="1483" w:type="pct"/>
            <w:vAlign w:val="center"/>
          </w:tcPr>
          <w:p>
            <w:pPr>
              <w:widowControl/>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供货范围</w:t>
            </w:r>
          </w:p>
        </w:tc>
        <w:tc>
          <w:tcPr>
            <w:tcW w:w="556"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5</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bl>
    <w:p>
      <w:pPr>
        <w:adjustRightInd w:val="0"/>
        <w:snapToGrid w:val="0"/>
        <w:spacing w:line="360" w:lineRule="auto"/>
        <w:rPr>
          <w:rFonts w:asciiTheme="minorEastAsia" w:hAnsiTheme="minorEastAsia" w:eastAsiaTheme="minorEastAsia"/>
          <w:b/>
          <w:bCs/>
          <w:sz w:val="24"/>
          <w:szCs w:val="28"/>
          <w:highlight w:val="none"/>
        </w:rPr>
      </w:pPr>
    </w:p>
    <w:p>
      <w:pPr>
        <w:adjustRightInd w:val="0"/>
        <w:snapToGrid w:val="0"/>
        <w:spacing w:line="360" w:lineRule="auto"/>
        <w:rPr>
          <w:rFonts w:asciiTheme="minorEastAsia" w:hAnsiTheme="minorEastAsia" w:eastAsiaTheme="minorEastAsia"/>
          <w:b/>
          <w:bCs/>
          <w:sz w:val="24"/>
          <w:szCs w:val="28"/>
          <w:highlight w:val="none"/>
        </w:rPr>
      </w:pPr>
      <w:r>
        <w:rPr>
          <w:rFonts w:hint="eastAsia" w:asciiTheme="minorEastAsia" w:hAnsiTheme="minorEastAsia" w:eastAsiaTheme="minorEastAsia"/>
          <w:b/>
          <w:bCs/>
          <w:sz w:val="24"/>
          <w:szCs w:val="28"/>
          <w:highlight w:val="none"/>
        </w:rPr>
        <w:t>备注：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1.表中所列业绩应为供应商满足磋商文件要求的业绩；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2.成交供应商提供的以上业绩情况，如磋商文件《供应商须知前附表》有约定的，将按约定随成交结果公告</w:t>
      </w:r>
      <w:r>
        <w:rPr>
          <w:rFonts w:hint="eastAsia" w:ascii="宋体" w:hAnsi="宋体" w:eastAsia="宋体"/>
          <w:sz w:val="24"/>
          <w:highlight w:val="none"/>
        </w:rPr>
        <w:t>同时公告</w:t>
      </w:r>
      <w:r>
        <w:rPr>
          <w:rFonts w:hint="eastAsia" w:asciiTheme="minorEastAsia" w:hAnsiTheme="minorEastAsia" w:eastAsiaTheme="minorEastAsia"/>
          <w:sz w:val="24"/>
          <w:highlight w:val="none"/>
        </w:rPr>
        <w:t>。</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hint="eastAsia"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十、其他相关证明材料</w:t>
      </w:r>
    </w:p>
    <w:p>
      <w:pPr>
        <w:tabs>
          <w:tab w:val="left" w:pos="4620"/>
        </w:tabs>
        <w:spacing w:line="360" w:lineRule="auto"/>
        <w:ind w:firstLine="480" w:firstLineChars="200"/>
        <w:rPr>
          <w:rFonts w:ascii="宋体" w:hAnsi="宋体" w:eastAsia="宋体"/>
          <w:sz w:val="24"/>
          <w:highlight w:val="none"/>
        </w:rPr>
      </w:pPr>
      <w:r>
        <w:rPr>
          <w:rFonts w:hint="eastAsia" w:ascii="宋体" w:hAnsi="宋体" w:eastAsia="宋体"/>
          <w:sz w:val="24"/>
          <w:highlight w:val="none"/>
        </w:rPr>
        <w:t>提供符合</w:t>
      </w:r>
      <w:r>
        <w:rPr>
          <w:rFonts w:hint="eastAsia" w:ascii="宋体" w:hAnsi="宋体" w:eastAsia="宋体"/>
          <w:sz w:val="24"/>
          <w:highlight w:val="none"/>
          <w:lang w:eastAsia="zh-CN"/>
        </w:rPr>
        <w:t>磋商公告</w:t>
      </w:r>
      <w:r>
        <w:rPr>
          <w:rFonts w:hint="eastAsia" w:ascii="宋体" w:hAnsi="宋体" w:eastAsia="宋体"/>
          <w:sz w:val="24"/>
          <w:highlight w:val="none"/>
        </w:rPr>
        <w:t>、采购需求及评审方法和标准规定的相关证明文件。</w:t>
      </w:r>
    </w:p>
    <w:p>
      <w:pPr>
        <w:spacing w:line="360" w:lineRule="auto"/>
        <w:ind w:firstLine="435"/>
        <w:rPr>
          <w:rFonts w:asciiTheme="minorEastAsia" w:hAnsiTheme="minorEastAsia" w:eastAsiaTheme="minorEastAsia"/>
          <w:sz w:val="24"/>
          <w:highlight w:val="none"/>
        </w:rPr>
      </w:pP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供应商在响应文件制作时可在此栏内上传磋商文件要求上传的证明资料，如营业执照、税务登记证、产品彩页、证书、检测报告、产品图片等，应将上述证明材料制作成扫描件上传。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52"/>
          <w:highlight w:val="none"/>
        </w:rPr>
      </w:pPr>
      <w:bookmarkStart w:id="170" w:name="_Toc26638977"/>
      <w:r>
        <w:rPr>
          <w:rFonts w:hint="eastAsia" w:ascii="宋体" w:hAnsi="宋体" w:eastAsia="宋体"/>
          <w:b/>
          <w:bCs/>
          <w:sz w:val="28"/>
          <w:highlight w:val="none"/>
        </w:rPr>
        <w:t>第</w:t>
      </w:r>
      <w:r>
        <w:rPr>
          <w:rFonts w:hint="eastAsia" w:ascii="宋体" w:hAnsi="宋体" w:eastAsia="宋体"/>
          <w:b/>
          <w:bCs/>
          <w:sz w:val="28"/>
          <w:highlight w:val="none"/>
          <w:lang w:eastAsia="zh-CN"/>
        </w:rPr>
        <w:t>七</w:t>
      </w:r>
      <w:r>
        <w:rPr>
          <w:rFonts w:hint="eastAsia" w:ascii="宋体" w:hAnsi="宋体" w:eastAsia="宋体"/>
          <w:b/>
          <w:bCs/>
          <w:sz w:val="28"/>
          <w:highlight w:val="none"/>
        </w:rPr>
        <w:t>章  政府采购</w:t>
      </w:r>
      <w:r>
        <w:rPr>
          <w:rFonts w:hint="eastAsia" w:asciiTheme="minorEastAsia" w:hAnsiTheme="minorEastAsia" w:eastAsiaTheme="minorEastAsia"/>
          <w:b/>
          <w:sz w:val="28"/>
          <w:highlight w:val="none"/>
        </w:rPr>
        <w:t>供应</w:t>
      </w:r>
      <w:r>
        <w:rPr>
          <w:rFonts w:hint="eastAsia" w:ascii="宋体" w:hAnsi="宋体" w:eastAsia="宋体"/>
          <w:b/>
          <w:bCs/>
          <w:sz w:val="28"/>
          <w:highlight w:val="none"/>
        </w:rPr>
        <w:t>商质疑函范本</w:t>
      </w:r>
      <w:bookmarkEnd w:id="170"/>
    </w:p>
    <w:p>
      <w:pPr>
        <w:jc w:val="center"/>
        <w:rPr>
          <w:rFonts w:ascii="仿宋" w:hAnsi="仿宋" w:eastAsia="仿宋" w:cs="仿宋"/>
          <w:b/>
          <w:bCs/>
          <w:sz w:val="32"/>
          <w:szCs w:val="44"/>
          <w:highlight w:val="none"/>
        </w:rPr>
      </w:pPr>
      <w:r>
        <w:rPr>
          <w:rFonts w:hint="eastAsia" w:ascii="仿宋" w:hAnsi="仿宋" w:eastAsia="仿宋" w:cs="仿宋"/>
          <w:b/>
          <w:bCs/>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一、质疑供应商基本信息</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质疑供应商：</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联系人：</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授权代表：</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cs="仿宋" w:asciiTheme="minorEastAsia" w:hAnsiTheme="minorEastAsia" w:eastAsiaTheme="minorEastAsia"/>
          <w:sz w:val="24"/>
          <w:szCs w:val="24"/>
          <w:highlight w:val="none"/>
        </w:rPr>
        <w:t xml:space="preserve"> </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二、质疑项目基本情况</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质疑项目的编号：</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包号：</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采购人名称：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采购文件获取日期：</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三、质疑事项具体内容</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质疑事项1：</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事实依据：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法律依据：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质疑事项2</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请求：</w:t>
      </w:r>
      <w:r>
        <w:rPr>
          <w:rFonts w:hint="eastAsia" w:cs="仿宋" w:asciiTheme="minorEastAsia" w:hAnsiTheme="minorEastAsia" w:eastAsiaTheme="minorEastAsia"/>
          <w:sz w:val="24"/>
          <w:szCs w:val="24"/>
          <w:highlight w:val="none"/>
          <w:u w:val="dotted"/>
        </w:rPr>
        <w:t xml:space="preserve">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签字(签章)：                   公章：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日期：    </w:t>
      </w:r>
    </w:p>
    <w:p>
      <w:pPr>
        <w:widowControl/>
        <w:jc w:val="left"/>
        <w:rPr>
          <w:rFonts w:ascii="仿宋" w:hAnsi="仿宋" w:eastAsia="仿宋" w:cs="仿宋"/>
          <w:sz w:val="32"/>
          <w:szCs w:val="32"/>
          <w:highlight w:val="none"/>
        </w:rPr>
      </w:pPr>
      <w:r>
        <w:rPr>
          <w:rFonts w:ascii="仿宋" w:hAnsi="仿宋" w:eastAsia="仿宋" w:cs="仿宋"/>
          <w:sz w:val="32"/>
          <w:szCs w:val="32"/>
          <w:highlight w:val="none"/>
        </w:rPr>
        <w:br w:type="page"/>
      </w:r>
    </w:p>
    <w:p>
      <w:pPr>
        <w:rPr>
          <w:rFonts w:asciiTheme="minorEastAsia" w:hAnsiTheme="minorEastAsia" w:eastAsiaTheme="minorEastAsia"/>
          <w:b/>
          <w:sz w:val="28"/>
          <w:szCs w:val="32"/>
          <w:highlight w:val="none"/>
        </w:rPr>
      </w:pPr>
      <w:r>
        <w:rPr>
          <w:rFonts w:hint="eastAsia" w:asciiTheme="minorEastAsia" w:hAnsiTheme="minorEastAsia" w:eastAsiaTheme="minorEastAsia"/>
          <w:b/>
          <w:sz w:val="28"/>
          <w:szCs w:val="32"/>
          <w:highlight w:val="none"/>
        </w:rPr>
        <w:t>质疑函制作说明：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1.供应商提出质疑时，应提交质疑函和必要的证明材料。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5.质疑函的质疑请求应与质疑事项相关。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10609000101010101"/>
    <w:charset w:val="88"/>
    <w:family w:val="modern"/>
    <w:pitch w:val="default"/>
    <w:sig w:usb0="80000001" w:usb1="28091800"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68</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r>
      <w:rPr>
        <w:rFonts w:hint="eastAsia" w:asciiTheme="minorEastAsia" w:hAnsiTheme="minorEastAsia" w:eastAsiaTheme="minorEastAsia"/>
      </w:rPr>
      <w:t>政府采购竞争性磋商文件范本——货物类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F8F280"/>
    <w:multiLevelType w:val="singleLevel"/>
    <w:tmpl w:val="74F8F2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DJkMDIwY2VjMDg3YTk5YmE1YzZlMWQ4MGZiOTgifQ=="/>
  </w:docVars>
  <w:rsids>
    <w:rsidRoot w:val="00276BA1"/>
    <w:rsid w:val="0000043F"/>
    <w:rsid w:val="000037F9"/>
    <w:rsid w:val="000049DA"/>
    <w:rsid w:val="000056B7"/>
    <w:rsid w:val="000131F7"/>
    <w:rsid w:val="00013B44"/>
    <w:rsid w:val="00014039"/>
    <w:rsid w:val="00016B6C"/>
    <w:rsid w:val="000201D0"/>
    <w:rsid w:val="00020B57"/>
    <w:rsid w:val="000300E1"/>
    <w:rsid w:val="000371D3"/>
    <w:rsid w:val="00040C25"/>
    <w:rsid w:val="00042139"/>
    <w:rsid w:val="00042B14"/>
    <w:rsid w:val="00044F49"/>
    <w:rsid w:val="000450C3"/>
    <w:rsid w:val="00047367"/>
    <w:rsid w:val="00050A3F"/>
    <w:rsid w:val="000648D2"/>
    <w:rsid w:val="00066B5B"/>
    <w:rsid w:val="00070E0E"/>
    <w:rsid w:val="0007146E"/>
    <w:rsid w:val="00076DB7"/>
    <w:rsid w:val="00080FEB"/>
    <w:rsid w:val="00086B11"/>
    <w:rsid w:val="00092139"/>
    <w:rsid w:val="00094D41"/>
    <w:rsid w:val="000970FA"/>
    <w:rsid w:val="00097CB9"/>
    <w:rsid w:val="000A10A9"/>
    <w:rsid w:val="000A63D6"/>
    <w:rsid w:val="000A6693"/>
    <w:rsid w:val="000A7970"/>
    <w:rsid w:val="000A7D94"/>
    <w:rsid w:val="000B1511"/>
    <w:rsid w:val="000C0507"/>
    <w:rsid w:val="000C1DB1"/>
    <w:rsid w:val="000D3F37"/>
    <w:rsid w:val="000E3C74"/>
    <w:rsid w:val="000E3F9B"/>
    <w:rsid w:val="000E478E"/>
    <w:rsid w:val="000E628B"/>
    <w:rsid w:val="000E6689"/>
    <w:rsid w:val="000F172B"/>
    <w:rsid w:val="000F2198"/>
    <w:rsid w:val="000F39B6"/>
    <w:rsid w:val="000F50F9"/>
    <w:rsid w:val="000F6B7B"/>
    <w:rsid w:val="00100B0F"/>
    <w:rsid w:val="0010187C"/>
    <w:rsid w:val="00101E00"/>
    <w:rsid w:val="0010219C"/>
    <w:rsid w:val="0010350F"/>
    <w:rsid w:val="001037E3"/>
    <w:rsid w:val="00105603"/>
    <w:rsid w:val="00106749"/>
    <w:rsid w:val="00115A0F"/>
    <w:rsid w:val="00116502"/>
    <w:rsid w:val="0011660B"/>
    <w:rsid w:val="0012143A"/>
    <w:rsid w:val="001258BA"/>
    <w:rsid w:val="00125C4D"/>
    <w:rsid w:val="001301E2"/>
    <w:rsid w:val="00140687"/>
    <w:rsid w:val="00141B76"/>
    <w:rsid w:val="001433FB"/>
    <w:rsid w:val="00143E86"/>
    <w:rsid w:val="001459A0"/>
    <w:rsid w:val="00146421"/>
    <w:rsid w:val="00153B20"/>
    <w:rsid w:val="00155F64"/>
    <w:rsid w:val="00157856"/>
    <w:rsid w:val="00160729"/>
    <w:rsid w:val="00166794"/>
    <w:rsid w:val="00166ED8"/>
    <w:rsid w:val="001714C9"/>
    <w:rsid w:val="0018119B"/>
    <w:rsid w:val="001844AB"/>
    <w:rsid w:val="001853C7"/>
    <w:rsid w:val="00192879"/>
    <w:rsid w:val="001944B8"/>
    <w:rsid w:val="00196DA3"/>
    <w:rsid w:val="001A526C"/>
    <w:rsid w:val="001A68E5"/>
    <w:rsid w:val="001B2A54"/>
    <w:rsid w:val="001B2BA4"/>
    <w:rsid w:val="001B5014"/>
    <w:rsid w:val="001B54B9"/>
    <w:rsid w:val="001B7327"/>
    <w:rsid w:val="001D22EA"/>
    <w:rsid w:val="001D53B4"/>
    <w:rsid w:val="001E1835"/>
    <w:rsid w:val="001F19A3"/>
    <w:rsid w:val="001F28D2"/>
    <w:rsid w:val="001F2F45"/>
    <w:rsid w:val="001F3023"/>
    <w:rsid w:val="001F35F6"/>
    <w:rsid w:val="001F74CA"/>
    <w:rsid w:val="001F7590"/>
    <w:rsid w:val="002003B6"/>
    <w:rsid w:val="00201A3A"/>
    <w:rsid w:val="0020244A"/>
    <w:rsid w:val="00202BB3"/>
    <w:rsid w:val="00204609"/>
    <w:rsid w:val="002049B4"/>
    <w:rsid w:val="0020520B"/>
    <w:rsid w:val="002076AD"/>
    <w:rsid w:val="00213C55"/>
    <w:rsid w:val="00214D78"/>
    <w:rsid w:val="0021525B"/>
    <w:rsid w:val="00223CF4"/>
    <w:rsid w:val="00224C4A"/>
    <w:rsid w:val="00231187"/>
    <w:rsid w:val="0023407E"/>
    <w:rsid w:val="00240B40"/>
    <w:rsid w:val="00244182"/>
    <w:rsid w:val="00244B75"/>
    <w:rsid w:val="0024520F"/>
    <w:rsid w:val="0025179B"/>
    <w:rsid w:val="0025335E"/>
    <w:rsid w:val="002544A1"/>
    <w:rsid w:val="00257ECE"/>
    <w:rsid w:val="00260B94"/>
    <w:rsid w:val="00264F2E"/>
    <w:rsid w:val="00271245"/>
    <w:rsid w:val="00274A9E"/>
    <w:rsid w:val="00276BA1"/>
    <w:rsid w:val="00280984"/>
    <w:rsid w:val="002835E3"/>
    <w:rsid w:val="00284542"/>
    <w:rsid w:val="002958EB"/>
    <w:rsid w:val="002A14D1"/>
    <w:rsid w:val="002A1A1D"/>
    <w:rsid w:val="002A28AD"/>
    <w:rsid w:val="002A5732"/>
    <w:rsid w:val="002B04FD"/>
    <w:rsid w:val="002B33B1"/>
    <w:rsid w:val="002B5318"/>
    <w:rsid w:val="002B6D27"/>
    <w:rsid w:val="002B7903"/>
    <w:rsid w:val="002B7A09"/>
    <w:rsid w:val="002C060C"/>
    <w:rsid w:val="002C0B0E"/>
    <w:rsid w:val="002D05DD"/>
    <w:rsid w:val="002D2965"/>
    <w:rsid w:val="002D3D02"/>
    <w:rsid w:val="002D4CB5"/>
    <w:rsid w:val="002D679B"/>
    <w:rsid w:val="002D684B"/>
    <w:rsid w:val="002E2D3A"/>
    <w:rsid w:val="002E3B26"/>
    <w:rsid w:val="002E4AB8"/>
    <w:rsid w:val="002E7FC4"/>
    <w:rsid w:val="00310070"/>
    <w:rsid w:val="0031081B"/>
    <w:rsid w:val="003110EC"/>
    <w:rsid w:val="0031271F"/>
    <w:rsid w:val="00316F83"/>
    <w:rsid w:val="003206A6"/>
    <w:rsid w:val="0032097C"/>
    <w:rsid w:val="00322CCA"/>
    <w:rsid w:val="003231B4"/>
    <w:rsid w:val="0032560D"/>
    <w:rsid w:val="00327C92"/>
    <w:rsid w:val="00333292"/>
    <w:rsid w:val="003344E7"/>
    <w:rsid w:val="0033580B"/>
    <w:rsid w:val="003365E7"/>
    <w:rsid w:val="003378D5"/>
    <w:rsid w:val="003473D7"/>
    <w:rsid w:val="00351AC8"/>
    <w:rsid w:val="00353075"/>
    <w:rsid w:val="00353DF7"/>
    <w:rsid w:val="00360384"/>
    <w:rsid w:val="00361773"/>
    <w:rsid w:val="00363E02"/>
    <w:rsid w:val="00373A96"/>
    <w:rsid w:val="003826C2"/>
    <w:rsid w:val="00383728"/>
    <w:rsid w:val="003839AF"/>
    <w:rsid w:val="00385435"/>
    <w:rsid w:val="003903BB"/>
    <w:rsid w:val="0039070B"/>
    <w:rsid w:val="00392627"/>
    <w:rsid w:val="00394128"/>
    <w:rsid w:val="00394ADC"/>
    <w:rsid w:val="00395235"/>
    <w:rsid w:val="0039561A"/>
    <w:rsid w:val="00397C7D"/>
    <w:rsid w:val="003A004F"/>
    <w:rsid w:val="003A092F"/>
    <w:rsid w:val="003B4130"/>
    <w:rsid w:val="003B715B"/>
    <w:rsid w:val="003C0225"/>
    <w:rsid w:val="003C2C62"/>
    <w:rsid w:val="003C465B"/>
    <w:rsid w:val="003D1D14"/>
    <w:rsid w:val="003D6C7C"/>
    <w:rsid w:val="003D6EFB"/>
    <w:rsid w:val="003D7E52"/>
    <w:rsid w:val="003E0891"/>
    <w:rsid w:val="003E25C6"/>
    <w:rsid w:val="003F7528"/>
    <w:rsid w:val="004011AA"/>
    <w:rsid w:val="0040202C"/>
    <w:rsid w:val="00406508"/>
    <w:rsid w:val="0041456E"/>
    <w:rsid w:val="00414F7E"/>
    <w:rsid w:val="004164F8"/>
    <w:rsid w:val="00420B0F"/>
    <w:rsid w:val="00426F05"/>
    <w:rsid w:val="00430A4D"/>
    <w:rsid w:val="004328E1"/>
    <w:rsid w:val="00440DFE"/>
    <w:rsid w:val="004427B7"/>
    <w:rsid w:val="0044349F"/>
    <w:rsid w:val="004444BC"/>
    <w:rsid w:val="004446D7"/>
    <w:rsid w:val="00445F1F"/>
    <w:rsid w:val="00451F60"/>
    <w:rsid w:val="004527BD"/>
    <w:rsid w:val="00452BB2"/>
    <w:rsid w:val="00456054"/>
    <w:rsid w:val="0045656D"/>
    <w:rsid w:val="004616AC"/>
    <w:rsid w:val="00462D98"/>
    <w:rsid w:val="00463E7D"/>
    <w:rsid w:val="00470551"/>
    <w:rsid w:val="00472A44"/>
    <w:rsid w:val="00473A89"/>
    <w:rsid w:val="0047588B"/>
    <w:rsid w:val="00475899"/>
    <w:rsid w:val="00476061"/>
    <w:rsid w:val="00480645"/>
    <w:rsid w:val="00482C78"/>
    <w:rsid w:val="0048634A"/>
    <w:rsid w:val="004874AE"/>
    <w:rsid w:val="00494D24"/>
    <w:rsid w:val="004951D1"/>
    <w:rsid w:val="004960BB"/>
    <w:rsid w:val="00497568"/>
    <w:rsid w:val="004A27D0"/>
    <w:rsid w:val="004A4D67"/>
    <w:rsid w:val="004A52C6"/>
    <w:rsid w:val="004C13CB"/>
    <w:rsid w:val="004D3D4B"/>
    <w:rsid w:val="004D5498"/>
    <w:rsid w:val="004D66A5"/>
    <w:rsid w:val="004D6B00"/>
    <w:rsid w:val="004E1600"/>
    <w:rsid w:val="004E1D50"/>
    <w:rsid w:val="004E2E18"/>
    <w:rsid w:val="004E50CA"/>
    <w:rsid w:val="004F27A0"/>
    <w:rsid w:val="00501382"/>
    <w:rsid w:val="00510798"/>
    <w:rsid w:val="005125F1"/>
    <w:rsid w:val="00516181"/>
    <w:rsid w:val="00524A11"/>
    <w:rsid w:val="00527768"/>
    <w:rsid w:val="00530EA4"/>
    <w:rsid w:val="005327FB"/>
    <w:rsid w:val="00533FCA"/>
    <w:rsid w:val="005401AC"/>
    <w:rsid w:val="005470D4"/>
    <w:rsid w:val="00557A99"/>
    <w:rsid w:val="00557AF5"/>
    <w:rsid w:val="005616B5"/>
    <w:rsid w:val="005672A1"/>
    <w:rsid w:val="005679A4"/>
    <w:rsid w:val="00572FEB"/>
    <w:rsid w:val="005751F5"/>
    <w:rsid w:val="0059223D"/>
    <w:rsid w:val="00597B15"/>
    <w:rsid w:val="00597FA2"/>
    <w:rsid w:val="005A044C"/>
    <w:rsid w:val="005A149F"/>
    <w:rsid w:val="005B1C79"/>
    <w:rsid w:val="005B34C9"/>
    <w:rsid w:val="005B62B9"/>
    <w:rsid w:val="005D0200"/>
    <w:rsid w:val="005D0E24"/>
    <w:rsid w:val="005D33D6"/>
    <w:rsid w:val="005D44EF"/>
    <w:rsid w:val="005D5112"/>
    <w:rsid w:val="005D5D67"/>
    <w:rsid w:val="005F17B5"/>
    <w:rsid w:val="005F34CC"/>
    <w:rsid w:val="005F3914"/>
    <w:rsid w:val="005F3B5A"/>
    <w:rsid w:val="005F489D"/>
    <w:rsid w:val="005F6AB4"/>
    <w:rsid w:val="006011B7"/>
    <w:rsid w:val="0060265C"/>
    <w:rsid w:val="00607471"/>
    <w:rsid w:val="00610A66"/>
    <w:rsid w:val="00613177"/>
    <w:rsid w:val="00613CBB"/>
    <w:rsid w:val="00613F7C"/>
    <w:rsid w:val="00614BF2"/>
    <w:rsid w:val="0061557C"/>
    <w:rsid w:val="00621321"/>
    <w:rsid w:val="00623DE2"/>
    <w:rsid w:val="00627601"/>
    <w:rsid w:val="006300D0"/>
    <w:rsid w:val="00632012"/>
    <w:rsid w:val="00634694"/>
    <w:rsid w:val="00634F32"/>
    <w:rsid w:val="00636517"/>
    <w:rsid w:val="00637506"/>
    <w:rsid w:val="00637690"/>
    <w:rsid w:val="00640E1E"/>
    <w:rsid w:val="0064389A"/>
    <w:rsid w:val="00645442"/>
    <w:rsid w:val="006525CD"/>
    <w:rsid w:val="00653F7F"/>
    <w:rsid w:val="00661B51"/>
    <w:rsid w:val="00662EE8"/>
    <w:rsid w:val="00663813"/>
    <w:rsid w:val="00664AFD"/>
    <w:rsid w:val="00667567"/>
    <w:rsid w:val="00667EFD"/>
    <w:rsid w:val="0067391A"/>
    <w:rsid w:val="00674173"/>
    <w:rsid w:val="00677D87"/>
    <w:rsid w:val="00683F8C"/>
    <w:rsid w:val="0068671B"/>
    <w:rsid w:val="00690DB1"/>
    <w:rsid w:val="00691808"/>
    <w:rsid w:val="00693404"/>
    <w:rsid w:val="006953D9"/>
    <w:rsid w:val="006953E9"/>
    <w:rsid w:val="006958DB"/>
    <w:rsid w:val="006A1269"/>
    <w:rsid w:val="006A5803"/>
    <w:rsid w:val="006A69C3"/>
    <w:rsid w:val="006A6E46"/>
    <w:rsid w:val="006A7C15"/>
    <w:rsid w:val="006B1242"/>
    <w:rsid w:val="006B1DBC"/>
    <w:rsid w:val="006B2725"/>
    <w:rsid w:val="006B7D9A"/>
    <w:rsid w:val="006C06D9"/>
    <w:rsid w:val="006C3E22"/>
    <w:rsid w:val="006C5716"/>
    <w:rsid w:val="006C64B2"/>
    <w:rsid w:val="006C74A9"/>
    <w:rsid w:val="006D07DE"/>
    <w:rsid w:val="006D361A"/>
    <w:rsid w:val="006E06D9"/>
    <w:rsid w:val="006E1D40"/>
    <w:rsid w:val="006E2E1F"/>
    <w:rsid w:val="006E5059"/>
    <w:rsid w:val="006F0B0C"/>
    <w:rsid w:val="006F5F03"/>
    <w:rsid w:val="006F5FFF"/>
    <w:rsid w:val="00710804"/>
    <w:rsid w:val="00711FC6"/>
    <w:rsid w:val="007130B1"/>
    <w:rsid w:val="00715071"/>
    <w:rsid w:val="00720D0D"/>
    <w:rsid w:val="007231E9"/>
    <w:rsid w:val="00724F0E"/>
    <w:rsid w:val="00727C59"/>
    <w:rsid w:val="00727D01"/>
    <w:rsid w:val="00732E61"/>
    <w:rsid w:val="00733730"/>
    <w:rsid w:val="00733907"/>
    <w:rsid w:val="00734E5D"/>
    <w:rsid w:val="00736013"/>
    <w:rsid w:val="007364A4"/>
    <w:rsid w:val="00737BF8"/>
    <w:rsid w:val="0074339B"/>
    <w:rsid w:val="00754A35"/>
    <w:rsid w:val="00755F95"/>
    <w:rsid w:val="00756245"/>
    <w:rsid w:val="00761662"/>
    <w:rsid w:val="00764043"/>
    <w:rsid w:val="007741E7"/>
    <w:rsid w:val="007757CF"/>
    <w:rsid w:val="0078128F"/>
    <w:rsid w:val="007819D9"/>
    <w:rsid w:val="00782760"/>
    <w:rsid w:val="0078683C"/>
    <w:rsid w:val="00790EDB"/>
    <w:rsid w:val="00791538"/>
    <w:rsid w:val="007916A4"/>
    <w:rsid w:val="0079326E"/>
    <w:rsid w:val="00796EDE"/>
    <w:rsid w:val="007A5A58"/>
    <w:rsid w:val="007B1C56"/>
    <w:rsid w:val="007B28B1"/>
    <w:rsid w:val="007C1DD7"/>
    <w:rsid w:val="007C3CD5"/>
    <w:rsid w:val="007C5E88"/>
    <w:rsid w:val="007C61EF"/>
    <w:rsid w:val="007D1C0D"/>
    <w:rsid w:val="007D2D23"/>
    <w:rsid w:val="007E27D6"/>
    <w:rsid w:val="007E324F"/>
    <w:rsid w:val="007E3921"/>
    <w:rsid w:val="007F41B5"/>
    <w:rsid w:val="007F4C8B"/>
    <w:rsid w:val="00801028"/>
    <w:rsid w:val="00803793"/>
    <w:rsid w:val="00804000"/>
    <w:rsid w:val="00814AC1"/>
    <w:rsid w:val="00817A01"/>
    <w:rsid w:val="00820E1F"/>
    <w:rsid w:val="00825E35"/>
    <w:rsid w:val="00830A4E"/>
    <w:rsid w:val="008334F8"/>
    <w:rsid w:val="00835FFD"/>
    <w:rsid w:val="008524CE"/>
    <w:rsid w:val="0086440C"/>
    <w:rsid w:val="00866781"/>
    <w:rsid w:val="0087454A"/>
    <w:rsid w:val="00876659"/>
    <w:rsid w:val="00876C2C"/>
    <w:rsid w:val="0087734C"/>
    <w:rsid w:val="00882141"/>
    <w:rsid w:val="008876EC"/>
    <w:rsid w:val="008922A8"/>
    <w:rsid w:val="00894482"/>
    <w:rsid w:val="00895BD5"/>
    <w:rsid w:val="008A16C4"/>
    <w:rsid w:val="008A6FED"/>
    <w:rsid w:val="008B39C5"/>
    <w:rsid w:val="008B4F19"/>
    <w:rsid w:val="008B51AA"/>
    <w:rsid w:val="008B6C5C"/>
    <w:rsid w:val="008C67F2"/>
    <w:rsid w:val="008C7FAF"/>
    <w:rsid w:val="008D064A"/>
    <w:rsid w:val="008D2B0F"/>
    <w:rsid w:val="008D5DBB"/>
    <w:rsid w:val="008E449E"/>
    <w:rsid w:val="008E4BDD"/>
    <w:rsid w:val="008E6CAA"/>
    <w:rsid w:val="008E770C"/>
    <w:rsid w:val="008F187F"/>
    <w:rsid w:val="008F1CE3"/>
    <w:rsid w:val="008F39F1"/>
    <w:rsid w:val="008F402F"/>
    <w:rsid w:val="008F7498"/>
    <w:rsid w:val="008F76E8"/>
    <w:rsid w:val="00901A9C"/>
    <w:rsid w:val="009069FD"/>
    <w:rsid w:val="009078A1"/>
    <w:rsid w:val="00911E9C"/>
    <w:rsid w:val="00913EC6"/>
    <w:rsid w:val="00917405"/>
    <w:rsid w:val="00920F7C"/>
    <w:rsid w:val="00924743"/>
    <w:rsid w:val="0092578B"/>
    <w:rsid w:val="00934CAE"/>
    <w:rsid w:val="00942337"/>
    <w:rsid w:val="0094257D"/>
    <w:rsid w:val="0095467C"/>
    <w:rsid w:val="00954A61"/>
    <w:rsid w:val="00955C6F"/>
    <w:rsid w:val="009609B5"/>
    <w:rsid w:val="00960B6E"/>
    <w:rsid w:val="00966799"/>
    <w:rsid w:val="00966C7B"/>
    <w:rsid w:val="009701DC"/>
    <w:rsid w:val="009715D8"/>
    <w:rsid w:val="009811A8"/>
    <w:rsid w:val="0098596B"/>
    <w:rsid w:val="009917C4"/>
    <w:rsid w:val="00995BF9"/>
    <w:rsid w:val="009A0CAF"/>
    <w:rsid w:val="009A1328"/>
    <w:rsid w:val="009A2207"/>
    <w:rsid w:val="009A2833"/>
    <w:rsid w:val="009A6E1E"/>
    <w:rsid w:val="009B0EDA"/>
    <w:rsid w:val="009B6C42"/>
    <w:rsid w:val="009C2812"/>
    <w:rsid w:val="009C411A"/>
    <w:rsid w:val="009D2998"/>
    <w:rsid w:val="009D31F7"/>
    <w:rsid w:val="009D32C2"/>
    <w:rsid w:val="009D50DB"/>
    <w:rsid w:val="009E0D86"/>
    <w:rsid w:val="009E2932"/>
    <w:rsid w:val="009E3A0A"/>
    <w:rsid w:val="009E7112"/>
    <w:rsid w:val="009F172C"/>
    <w:rsid w:val="009F1E2B"/>
    <w:rsid w:val="009F3E91"/>
    <w:rsid w:val="00A008DA"/>
    <w:rsid w:val="00A02F97"/>
    <w:rsid w:val="00A0571E"/>
    <w:rsid w:val="00A1035B"/>
    <w:rsid w:val="00A10F6D"/>
    <w:rsid w:val="00A1499B"/>
    <w:rsid w:val="00A22956"/>
    <w:rsid w:val="00A30A1B"/>
    <w:rsid w:val="00A314C2"/>
    <w:rsid w:val="00A44C5D"/>
    <w:rsid w:val="00A50585"/>
    <w:rsid w:val="00A519A0"/>
    <w:rsid w:val="00A62A2E"/>
    <w:rsid w:val="00A63E86"/>
    <w:rsid w:val="00A757C3"/>
    <w:rsid w:val="00A75DE5"/>
    <w:rsid w:val="00A75E5B"/>
    <w:rsid w:val="00A7684A"/>
    <w:rsid w:val="00A83B69"/>
    <w:rsid w:val="00A845DC"/>
    <w:rsid w:val="00A86533"/>
    <w:rsid w:val="00A9145F"/>
    <w:rsid w:val="00A91CA2"/>
    <w:rsid w:val="00A92FB8"/>
    <w:rsid w:val="00A945A0"/>
    <w:rsid w:val="00A948F1"/>
    <w:rsid w:val="00A9514D"/>
    <w:rsid w:val="00AA18F9"/>
    <w:rsid w:val="00AA1D7D"/>
    <w:rsid w:val="00AA2790"/>
    <w:rsid w:val="00AA2DB0"/>
    <w:rsid w:val="00AA3806"/>
    <w:rsid w:val="00AB139D"/>
    <w:rsid w:val="00AB2D05"/>
    <w:rsid w:val="00AB3EFB"/>
    <w:rsid w:val="00AC0B05"/>
    <w:rsid w:val="00AC7F9D"/>
    <w:rsid w:val="00AD079A"/>
    <w:rsid w:val="00AD1890"/>
    <w:rsid w:val="00AE133A"/>
    <w:rsid w:val="00AE2149"/>
    <w:rsid w:val="00AE33AE"/>
    <w:rsid w:val="00AE3F91"/>
    <w:rsid w:val="00AE4410"/>
    <w:rsid w:val="00AF2AE0"/>
    <w:rsid w:val="00AF3C78"/>
    <w:rsid w:val="00AF67FF"/>
    <w:rsid w:val="00B0053D"/>
    <w:rsid w:val="00B039E3"/>
    <w:rsid w:val="00B04932"/>
    <w:rsid w:val="00B06743"/>
    <w:rsid w:val="00B06D36"/>
    <w:rsid w:val="00B12BC4"/>
    <w:rsid w:val="00B22838"/>
    <w:rsid w:val="00B250B3"/>
    <w:rsid w:val="00B2650E"/>
    <w:rsid w:val="00B311CE"/>
    <w:rsid w:val="00B33E24"/>
    <w:rsid w:val="00B33E95"/>
    <w:rsid w:val="00B3720B"/>
    <w:rsid w:val="00B45D0B"/>
    <w:rsid w:val="00B5558A"/>
    <w:rsid w:val="00B56513"/>
    <w:rsid w:val="00B63B5E"/>
    <w:rsid w:val="00B64376"/>
    <w:rsid w:val="00B6570C"/>
    <w:rsid w:val="00B710DD"/>
    <w:rsid w:val="00B7401F"/>
    <w:rsid w:val="00B769CF"/>
    <w:rsid w:val="00B806C3"/>
    <w:rsid w:val="00B80D6F"/>
    <w:rsid w:val="00B81F16"/>
    <w:rsid w:val="00B8383C"/>
    <w:rsid w:val="00B84FCA"/>
    <w:rsid w:val="00B9089F"/>
    <w:rsid w:val="00B91826"/>
    <w:rsid w:val="00B91AEE"/>
    <w:rsid w:val="00B9570D"/>
    <w:rsid w:val="00B95F5A"/>
    <w:rsid w:val="00B96EAD"/>
    <w:rsid w:val="00B97600"/>
    <w:rsid w:val="00BA5F8D"/>
    <w:rsid w:val="00BA79F5"/>
    <w:rsid w:val="00BB0778"/>
    <w:rsid w:val="00BB1747"/>
    <w:rsid w:val="00BB38FB"/>
    <w:rsid w:val="00BB3AB6"/>
    <w:rsid w:val="00BB6004"/>
    <w:rsid w:val="00BB766D"/>
    <w:rsid w:val="00BB7A50"/>
    <w:rsid w:val="00BC007B"/>
    <w:rsid w:val="00BC02BB"/>
    <w:rsid w:val="00BC26BA"/>
    <w:rsid w:val="00BC35F8"/>
    <w:rsid w:val="00BC481B"/>
    <w:rsid w:val="00BC7182"/>
    <w:rsid w:val="00BD2771"/>
    <w:rsid w:val="00BD617C"/>
    <w:rsid w:val="00BD67FE"/>
    <w:rsid w:val="00BD74F3"/>
    <w:rsid w:val="00BE3708"/>
    <w:rsid w:val="00BE6C63"/>
    <w:rsid w:val="00BF3649"/>
    <w:rsid w:val="00BF376F"/>
    <w:rsid w:val="00BF46A6"/>
    <w:rsid w:val="00BF71FB"/>
    <w:rsid w:val="00C0253F"/>
    <w:rsid w:val="00C06545"/>
    <w:rsid w:val="00C134AF"/>
    <w:rsid w:val="00C220FC"/>
    <w:rsid w:val="00C2461D"/>
    <w:rsid w:val="00C24DFA"/>
    <w:rsid w:val="00C24F9D"/>
    <w:rsid w:val="00C26C8F"/>
    <w:rsid w:val="00C30182"/>
    <w:rsid w:val="00C31FC9"/>
    <w:rsid w:val="00C35CF0"/>
    <w:rsid w:val="00C363BA"/>
    <w:rsid w:val="00C37A63"/>
    <w:rsid w:val="00C46A36"/>
    <w:rsid w:val="00C47037"/>
    <w:rsid w:val="00C53625"/>
    <w:rsid w:val="00C53E9F"/>
    <w:rsid w:val="00C548BA"/>
    <w:rsid w:val="00C57784"/>
    <w:rsid w:val="00C602C1"/>
    <w:rsid w:val="00C63FC0"/>
    <w:rsid w:val="00C66392"/>
    <w:rsid w:val="00C67A46"/>
    <w:rsid w:val="00C70834"/>
    <w:rsid w:val="00C73D09"/>
    <w:rsid w:val="00C74C5E"/>
    <w:rsid w:val="00C77127"/>
    <w:rsid w:val="00C82558"/>
    <w:rsid w:val="00C827A2"/>
    <w:rsid w:val="00C82B69"/>
    <w:rsid w:val="00C82CB3"/>
    <w:rsid w:val="00C91B28"/>
    <w:rsid w:val="00C91F3A"/>
    <w:rsid w:val="00C93590"/>
    <w:rsid w:val="00CA02EB"/>
    <w:rsid w:val="00CA5446"/>
    <w:rsid w:val="00CB218D"/>
    <w:rsid w:val="00CB5625"/>
    <w:rsid w:val="00CB5797"/>
    <w:rsid w:val="00CB69DD"/>
    <w:rsid w:val="00CC1C17"/>
    <w:rsid w:val="00CC4F7F"/>
    <w:rsid w:val="00CD09E1"/>
    <w:rsid w:val="00CD420D"/>
    <w:rsid w:val="00CE1780"/>
    <w:rsid w:val="00CE4913"/>
    <w:rsid w:val="00CE66BD"/>
    <w:rsid w:val="00CF0671"/>
    <w:rsid w:val="00CF18EC"/>
    <w:rsid w:val="00CF247A"/>
    <w:rsid w:val="00CF44AD"/>
    <w:rsid w:val="00CF4FC0"/>
    <w:rsid w:val="00D1072F"/>
    <w:rsid w:val="00D108A5"/>
    <w:rsid w:val="00D14585"/>
    <w:rsid w:val="00D20EFF"/>
    <w:rsid w:val="00D31324"/>
    <w:rsid w:val="00D53ED8"/>
    <w:rsid w:val="00D55C38"/>
    <w:rsid w:val="00D5737E"/>
    <w:rsid w:val="00D64857"/>
    <w:rsid w:val="00D6493A"/>
    <w:rsid w:val="00D649A5"/>
    <w:rsid w:val="00D67875"/>
    <w:rsid w:val="00D719B9"/>
    <w:rsid w:val="00D71E86"/>
    <w:rsid w:val="00D731C6"/>
    <w:rsid w:val="00D745C5"/>
    <w:rsid w:val="00D75327"/>
    <w:rsid w:val="00D80038"/>
    <w:rsid w:val="00D80C36"/>
    <w:rsid w:val="00D81A32"/>
    <w:rsid w:val="00D86EE1"/>
    <w:rsid w:val="00D90BAA"/>
    <w:rsid w:val="00D94D95"/>
    <w:rsid w:val="00D95E90"/>
    <w:rsid w:val="00D96126"/>
    <w:rsid w:val="00DA2FD5"/>
    <w:rsid w:val="00DB4B1C"/>
    <w:rsid w:val="00DB5085"/>
    <w:rsid w:val="00DB619F"/>
    <w:rsid w:val="00DC1062"/>
    <w:rsid w:val="00DC132C"/>
    <w:rsid w:val="00DD43F0"/>
    <w:rsid w:val="00DD44DE"/>
    <w:rsid w:val="00DE09AB"/>
    <w:rsid w:val="00DE4A3F"/>
    <w:rsid w:val="00DE5A99"/>
    <w:rsid w:val="00DF4367"/>
    <w:rsid w:val="00DF4617"/>
    <w:rsid w:val="00DF6002"/>
    <w:rsid w:val="00DF7291"/>
    <w:rsid w:val="00E0574A"/>
    <w:rsid w:val="00E06F02"/>
    <w:rsid w:val="00E1243D"/>
    <w:rsid w:val="00E12742"/>
    <w:rsid w:val="00E146D4"/>
    <w:rsid w:val="00E21D37"/>
    <w:rsid w:val="00E220ED"/>
    <w:rsid w:val="00E22B44"/>
    <w:rsid w:val="00E30ACD"/>
    <w:rsid w:val="00E32735"/>
    <w:rsid w:val="00E33FC7"/>
    <w:rsid w:val="00E36388"/>
    <w:rsid w:val="00E440FD"/>
    <w:rsid w:val="00E44B88"/>
    <w:rsid w:val="00E51A10"/>
    <w:rsid w:val="00E66E36"/>
    <w:rsid w:val="00E702ED"/>
    <w:rsid w:val="00E709A4"/>
    <w:rsid w:val="00E772DB"/>
    <w:rsid w:val="00E86012"/>
    <w:rsid w:val="00E86BAB"/>
    <w:rsid w:val="00E86E24"/>
    <w:rsid w:val="00E94E10"/>
    <w:rsid w:val="00E96743"/>
    <w:rsid w:val="00E96A42"/>
    <w:rsid w:val="00EA49C5"/>
    <w:rsid w:val="00EA6279"/>
    <w:rsid w:val="00EB0812"/>
    <w:rsid w:val="00EB5027"/>
    <w:rsid w:val="00EC1836"/>
    <w:rsid w:val="00EC3990"/>
    <w:rsid w:val="00EC484B"/>
    <w:rsid w:val="00EC69A4"/>
    <w:rsid w:val="00EC7E58"/>
    <w:rsid w:val="00ED15FA"/>
    <w:rsid w:val="00ED5C9F"/>
    <w:rsid w:val="00EE6E9A"/>
    <w:rsid w:val="00EF2AC4"/>
    <w:rsid w:val="00EF38FB"/>
    <w:rsid w:val="00EF397E"/>
    <w:rsid w:val="00EF51CE"/>
    <w:rsid w:val="00F06B54"/>
    <w:rsid w:val="00F06F68"/>
    <w:rsid w:val="00F15E9D"/>
    <w:rsid w:val="00F160CE"/>
    <w:rsid w:val="00F24C2D"/>
    <w:rsid w:val="00F27D59"/>
    <w:rsid w:val="00F32A81"/>
    <w:rsid w:val="00F337E8"/>
    <w:rsid w:val="00F34934"/>
    <w:rsid w:val="00F40C82"/>
    <w:rsid w:val="00F4197F"/>
    <w:rsid w:val="00F42E25"/>
    <w:rsid w:val="00F44514"/>
    <w:rsid w:val="00F45DFF"/>
    <w:rsid w:val="00F46998"/>
    <w:rsid w:val="00F5382D"/>
    <w:rsid w:val="00F53D9C"/>
    <w:rsid w:val="00F5462B"/>
    <w:rsid w:val="00F55641"/>
    <w:rsid w:val="00F57205"/>
    <w:rsid w:val="00F634AD"/>
    <w:rsid w:val="00F63677"/>
    <w:rsid w:val="00F6584C"/>
    <w:rsid w:val="00F75B81"/>
    <w:rsid w:val="00F804C4"/>
    <w:rsid w:val="00F80C7E"/>
    <w:rsid w:val="00F82340"/>
    <w:rsid w:val="00F82F83"/>
    <w:rsid w:val="00F83CE1"/>
    <w:rsid w:val="00F84506"/>
    <w:rsid w:val="00F8548A"/>
    <w:rsid w:val="00F90C64"/>
    <w:rsid w:val="00F90DA6"/>
    <w:rsid w:val="00F92B30"/>
    <w:rsid w:val="00F933B9"/>
    <w:rsid w:val="00F94674"/>
    <w:rsid w:val="00F94919"/>
    <w:rsid w:val="00F94A59"/>
    <w:rsid w:val="00F94C52"/>
    <w:rsid w:val="00FA25B6"/>
    <w:rsid w:val="00FA2FAF"/>
    <w:rsid w:val="00FA54F6"/>
    <w:rsid w:val="00FA64B1"/>
    <w:rsid w:val="00FA6FFE"/>
    <w:rsid w:val="00FA70F3"/>
    <w:rsid w:val="00FA71CD"/>
    <w:rsid w:val="00FB0453"/>
    <w:rsid w:val="00FB0C07"/>
    <w:rsid w:val="00FB298D"/>
    <w:rsid w:val="00FC1439"/>
    <w:rsid w:val="00FC3F65"/>
    <w:rsid w:val="00FC724B"/>
    <w:rsid w:val="00FC7910"/>
    <w:rsid w:val="00FD01E0"/>
    <w:rsid w:val="00FD784C"/>
    <w:rsid w:val="00FE1627"/>
    <w:rsid w:val="00FE7122"/>
    <w:rsid w:val="00FF092F"/>
    <w:rsid w:val="00FF0DA7"/>
    <w:rsid w:val="00FF2750"/>
    <w:rsid w:val="00FF44E0"/>
    <w:rsid w:val="00FF6C72"/>
    <w:rsid w:val="01901C7D"/>
    <w:rsid w:val="020B6A0C"/>
    <w:rsid w:val="030516AD"/>
    <w:rsid w:val="03237D85"/>
    <w:rsid w:val="0388408C"/>
    <w:rsid w:val="0471142E"/>
    <w:rsid w:val="053450BF"/>
    <w:rsid w:val="08806C56"/>
    <w:rsid w:val="0AD363A7"/>
    <w:rsid w:val="0B6131F9"/>
    <w:rsid w:val="0D63352C"/>
    <w:rsid w:val="11123990"/>
    <w:rsid w:val="1238409A"/>
    <w:rsid w:val="14383871"/>
    <w:rsid w:val="17544559"/>
    <w:rsid w:val="18D858B5"/>
    <w:rsid w:val="19D652F0"/>
    <w:rsid w:val="1C04482A"/>
    <w:rsid w:val="1E133AFD"/>
    <w:rsid w:val="1E251937"/>
    <w:rsid w:val="1E4F5A7B"/>
    <w:rsid w:val="1F6256D5"/>
    <w:rsid w:val="206C021E"/>
    <w:rsid w:val="21917A73"/>
    <w:rsid w:val="22965A26"/>
    <w:rsid w:val="26523B90"/>
    <w:rsid w:val="26D63AB1"/>
    <w:rsid w:val="26D66D39"/>
    <w:rsid w:val="2790451F"/>
    <w:rsid w:val="29D357B2"/>
    <w:rsid w:val="2A355835"/>
    <w:rsid w:val="2AD52E64"/>
    <w:rsid w:val="2CD0422B"/>
    <w:rsid w:val="2D7053B9"/>
    <w:rsid w:val="2EBC3354"/>
    <w:rsid w:val="2FF828BA"/>
    <w:rsid w:val="34BF6EC7"/>
    <w:rsid w:val="355F16F4"/>
    <w:rsid w:val="35A85D44"/>
    <w:rsid w:val="36C2526A"/>
    <w:rsid w:val="3709636F"/>
    <w:rsid w:val="37686BC6"/>
    <w:rsid w:val="39142E83"/>
    <w:rsid w:val="39A650B9"/>
    <w:rsid w:val="3DC756BB"/>
    <w:rsid w:val="40AD1220"/>
    <w:rsid w:val="42ED0DBC"/>
    <w:rsid w:val="44AA183B"/>
    <w:rsid w:val="44E67CEF"/>
    <w:rsid w:val="478063A4"/>
    <w:rsid w:val="49361C8B"/>
    <w:rsid w:val="4BA95F1B"/>
    <w:rsid w:val="4C666DC0"/>
    <w:rsid w:val="4C6729B1"/>
    <w:rsid w:val="4CFA4105"/>
    <w:rsid w:val="4ECD0AE5"/>
    <w:rsid w:val="51025C55"/>
    <w:rsid w:val="52A4188E"/>
    <w:rsid w:val="55AA209F"/>
    <w:rsid w:val="5A6279C1"/>
    <w:rsid w:val="5B1355A2"/>
    <w:rsid w:val="5C291FDA"/>
    <w:rsid w:val="5DE42C6E"/>
    <w:rsid w:val="612C2AD6"/>
    <w:rsid w:val="6185502E"/>
    <w:rsid w:val="620C3034"/>
    <w:rsid w:val="626C28A3"/>
    <w:rsid w:val="63424269"/>
    <w:rsid w:val="63933252"/>
    <w:rsid w:val="65356825"/>
    <w:rsid w:val="69457D89"/>
    <w:rsid w:val="69E421A0"/>
    <w:rsid w:val="6A4973ED"/>
    <w:rsid w:val="6A4A193D"/>
    <w:rsid w:val="711B1525"/>
    <w:rsid w:val="724E3940"/>
    <w:rsid w:val="73275775"/>
    <w:rsid w:val="76824B19"/>
    <w:rsid w:val="77901C3A"/>
    <w:rsid w:val="7851759A"/>
    <w:rsid w:val="78A27DF6"/>
    <w:rsid w:val="79213F56"/>
    <w:rsid w:val="7B4A1B68"/>
    <w:rsid w:val="7B6E0463"/>
    <w:rsid w:val="7C1E36C4"/>
    <w:rsid w:val="7E203A1B"/>
    <w:rsid w:val="7E73480C"/>
    <w:rsid w:val="7E8645E6"/>
    <w:rsid w:val="7FF7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50"/>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line="413" w:lineRule="auto"/>
      <w:outlineLvl w:val="1"/>
    </w:pPr>
    <w:rPr>
      <w:rFonts w:ascii="Arial" w:hAnsi="Arial" w:eastAsia="黑体"/>
      <w:b/>
      <w:bCs/>
      <w:sz w:val="28"/>
      <w:szCs w:val="32"/>
    </w:rPr>
  </w:style>
  <w:style w:type="paragraph" w:styleId="2">
    <w:name w:val="heading 3"/>
    <w:basedOn w:val="1"/>
    <w:next w:val="1"/>
    <w:link w:val="52"/>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7"/>
    <w:autoRedefine/>
    <w:qFormat/>
    <w:uiPriority w:val="0"/>
    <w:pPr>
      <w:keepNext/>
      <w:keepLines/>
      <w:spacing w:before="280" w:after="290" w:line="376" w:lineRule="auto"/>
      <w:outlineLvl w:val="3"/>
    </w:pPr>
    <w:rPr>
      <w:b/>
      <w:bCs/>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49"/>
    <w:autoRedefine/>
    <w:qFormat/>
    <w:uiPriority w:val="0"/>
    <w:pPr>
      <w:jc w:val="left"/>
    </w:pPr>
    <w:rPr>
      <w:rFonts w:ascii="Arial" w:hAnsi="Arial" w:eastAsia="黑体" w:cs="Arial"/>
    </w:rPr>
  </w:style>
  <w:style w:type="paragraph" w:styleId="8">
    <w:name w:val="Body Text"/>
    <w:basedOn w:val="1"/>
    <w:next w:val="1"/>
    <w:link w:val="58"/>
    <w:autoRedefine/>
    <w:qFormat/>
    <w:uiPriority w:val="0"/>
    <w:pPr>
      <w:spacing w:after="120"/>
    </w:pPr>
    <w:rPr>
      <w:rFonts w:ascii="@微软简标宋" w:hAnsi="@微软简标宋" w:eastAsia="@微软简标宋" w:cs="@微软简标宋"/>
      <w:szCs w:val="24"/>
      <w:lang w:val="zh-CN"/>
    </w:rPr>
  </w:style>
  <w:style w:type="paragraph" w:styleId="9">
    <w:name w:val="Body Text Indent"/>
    <w:basedOn w:val="1"/>
    <w:next w:val="10"/>
    <w:autoRedefine/>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0">
    <w:name w:val="envelope return"/>
    <w:basedOn w:val="1"/>
    <w:autoRedefine/>
    <w:qFormat/>
    <w:uiPriority w:val="0"/>
    <w:pPr>
      <w:snapToGrid w:val="0"/>
    </w:pPr>
    <w:rPr>
      <w:rFonts w:ascii="Arial" w:hAnsi="Arial"/>
    </w:rPr>
  </w:style>
  <w:style w:type="paragraph" w:styleId="11">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8"/>
    <w:autoRedefine/>
    <w:qFormat/>
    <w:uiPriority w:val="99"/>
    <w:rPr>
      <w:rFonts w:ascii="宋体" w:hAnsi="Courier New" w:eastAsiaTheme="minorEastAsia" w:cstheme="minorBidi"/>
      <w:szCs w:val="22"/>
    </w:rPr>
  </w:style>
  <w:style w:type="paragraph" w:styleId="13">
    <w:name w:val="Date"/>
    <w:basedOn w:val="1"/>
    <w:next w:val="1"/>
    <w:link w:val="45"/>
    <w:autoRedefine/>
    <w:qFormat/>
    <w:uiPriority w:val="0"/>
    <w:rPr>
      <w:rFonts w:ascii="Arial" w:hAnsi="Arial" w:eastAsia="宋体" w:cs="Arial"/>
      <w:b/>
      <w:sz w:val="28"/>
    </w:rPr>
  </w:style>
  <w:style w:type="paragraph" w:styleId="14">
    <w:name w:val="Balloon Text"/>
    <w:basedOn w:val="1"/>
    <w:link w:val="32"/>
    <w:autoRedefine/>
    <w:semiHidden/>
    <w:unhideWhenUsed/>
    <w:qFormat/>
    <w:uiPriority w:val="99"/>
    <w:rPr>
      <w:sz w:val="18"/>
      <w:szCs w:val="18"/>
    </w:rPr>
  </w:style>
  <w:style w:type="paragraph" w:styleId="15">
    <w:name w:val="footer"/>
    <w:basedOn w:val="1"/>
    <w:link w:val="37"/>
    <w:autoRedefine/>
    <w:unhideWhenUsed/>
    <w:qFormat/>
    <w:uiPriority w:val="99"/>
    <w:pPr>
      <w:tabs>
        <w:tab w:val="center" w:pos="4153"/>
        <w:tab w:val="right" w:pos="8306"/>
      </w:tabs>
      <w:snapToGrid w:val="0"/>
      <w:jc w:val="left"/>
    </w:pPr>
    <w:rPr>
      <w:sz w:val="18"/>
      <w:szCs w:val="18"/>
    </w:rPr>
  </w:style>
  <w:style w:type="paragraph" w:styleId="16">
    <w:name w:val="header"/>
    <w:basedOn w:val="1"/>
    <w:link w:val="3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Subtitle"/>
    <w:basedOn w:val="1"/>
    <w:next w:val="1"/>
    <w:autoRedefine/>
    <w:qFormat/>
    <w:uiPriority w:val="0"/>
    <w:pPr>
      <w:spacing w:before="240" w:after="60" w:line="312" w:lineRule="auto"/>
      <w:jc w:val="center"/>
      <w:outlineLvl w:val="1"/>
    </w:pPr>
    <w:rPr>
      <w:rFonts w:ascii="DejaVu Sans" w:hAnsi="DejaVu Sans"/>
      <w:b/>
      <w:kern w:val="28"/>
      <w:sz w:val="32"/>
    </w:rPr>
  </w:style>
  <w:style w:type="paragraph" w:styleId="19">
    <w:name w:val="List"/>
    <w:basedOn w:val="1"/>
    <w:autoRedefine/>
    <w:qFormat/>
    <w:uiPriority w:val="0"/>
    <w:pPr>
      <w:ind w:left="420" w:hanging="420"/>
    </w:pPr>
    <w:rPr>
      <w:rFonts w:ascii="Arial" w:hAnsi="Arial" w:eastAsia="楷体_GB2312"/>
      <w:sz w:val="28"/>
    </w:rPr>
  </w:style>
  <w:style w:type="paragraph" w:styleId="20">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2">
    <w:name w:val="index 1"/>
    <w:basedOn w:val="1"/>
    <w:next w:val="1"/>
    <w:autoRedefine/>
    <w:qFormat/>
    <w:uiPriority w:val="0"/>
    <w:pPr>
      <w:jc w:val="center"/>
    </w:pPr>
    <w:rPr>
      <w:rFonts w:ascii="Arial" w:hAnsi="Arial" w:eastAsia="Arial" w:cs="Arial"/>
      <w:b/>
      <w:bCs/>
      <w:sz w:val="28"/>
    </w:rPr>
  </w:style>
  <w:style w:type="paragraph" w:styleId="23">
    <w:name w:val="annotation subject"/>
    <w:basedOn w:val="7"/>
    <w:next w:val="7"/>
    <w:link w:val="59"/>
    <w:autoRedefine/>
    <w:semiHidden/>
    <w:unhideWhenUsed/>
    <w:qFormat/>
    <w:uiPriority w:val="99"/>
    <w:rPr>
      <w:rFonts w:ascii="@仿宋_GB2312" w:hAnsi="@仿宋_GB2312" w:eastAsia="@仿宋_GB2312" w:cs="@仿宋_GB2312"/>
      <w:b/>
      <w:bCs/>
    </w:rPr>
  </w:style>
  <w:style w:type="paragraph" w:styleId="24">
    <w:name w:val="Body Text First Indent"/>
    <w:basedOn w:val="8"/>
    <w:autoRedefine/>
    <w:qFormat/>
    <w:uiPriority w:val="99"/>
    <w:pPr>
      <w:tabs>
        <w:tab w:val="left" w:pos="567"/>
      </w:tabs>
      <w:ind w:firstLine="420" w:firstLineChars="100"/>
    </w:pPr>
  </w:style>
  <w:style w:type="paragraph" w:styleId="25">
    <w:name w:val="Body Text First Indent 2"/>
    <w:basedOn w:val="9"/>
    <w:next w:val="19"/>
    <w:autoRedefine/>
    <w:unhideWhenUsed/>
    <w:qFormat/>
    <w:uiPriority w:val="99"/>
    <w:pPr>
      <w:ind w:left="420" w:firstLine="420" w:firstLineChars="200"/>
    </w:pPr>
    <w:rPr>
      <w:szCs w:val="20"/>
    </w:rPr>
  </w:style>
  <w:style w:type="table" w:styleId="27">
    <w:name w:val="Table Grid"/>
    <w:basedOn w:val="26"/>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0"/>
    <w:rPr>
      <w:b/>
      <w:bCs/>
    </w:rPr>
  </w:style>
  <w:style w:type="character" w:styleId="30">
    <w:name w:val="Hyperlink"/>
    <w:basedOn w:val="28"/>
    <w:autoRedefine/>
    <w:unhideWhenUsed/>
    <w:qFormat/>
    <w:uiPriority w:val="99"/>
    <w:rPr>
      <w:color w:val="0000FF" w:themeColor="hyperlink"/>
      <w:u w:val="single"/>
      <w14:textFill>
        <w14:solidFill>
          <w14:schemeClr w14:val="hlink"/>
        </w14:solidFill>
      </w14:textFill>
    </w:rPr>
  </w:style>
  <w:style w:type="character" w:styleId="31">
    <w:name w:val="annotation reference"/>
    <w:basedOn w:val="28"/>
    <w:autoRedefine/>
    <w:semiHidden/>
    <w:unhideWhenUsed/>
    <w:qFormat/>
    <w:uiPriority w:val="99"/>
    <w:rPr>
      <w:sz w:val="21"/>
      <w:szCs w:val="21"/>
    </w:rPr>
  </w:style>
  <w:style w:type="character" w:customStyle="1" w:styleId="32">
    <w:name w:val="批注框文本 Char"/>
    <w:basedOn w:val="28"/>
    <w:link w:val="14"/>
    <w:autoRedefine/>
    <w:semiHidden/>
    <w:qFormat/>
    <w:uiPriority w:val="99"/>
    <w:rPr>
      <w:rFonts w:ascii="@仿宋_GB2312" w:hAnsi="@仿宋_GB2312" w:eastAsia="@仿宋_GB2312" w:cs="@仿宋_GB2312"/>
      <w:sz w:val="18"/>
      <w:szCs w:val="18"/>
    </w:rPr>
  </w:style>
  <w:style w:type="paragraph" w:customStyle="1" w:styleId="33">
    <w:name w:val="正文（缩进）"/>
    <w:basedOn w:val="1"/>
    <w:autoRedefine/>
    <w:qFormat/>
    <w:uiPriority w:val="0"/>
    <w:pPr>
      <w:widowControl/>
      <w:spacing w:before="156" w:after="156"/>
      <w:ind w:firstLine="480" w:firstLineChars="200"/>
      <w:jc w:val="left"/>
    </w:pPr>
    <w:rPr>
      <w:kern w:val="0"/>
      <w:sz w:val="24"/>
      <w:szCs w:val="24"/>
    </w:rPr>
  </w:style>
  <w:style w:type="paragraph" w:customStyle="1" w:styleId="34">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35">
    <w:name w:val="D&amp;L"/>
    <w:basedOn w:val="16"/>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6">
    <w:name w:val="页眉 Char"/>
    <w:basedOn w:val="28"/>
    <w:link w:val="16"/>
    <w:autoRedefine/>
    <w:qFormat/>
    <w:uiPriority w:val="0"/>
    <w:rPr>
      <w:rFonts w:ascii="@仿宋_GB2312" w:hAnsi="@仿宋_GB2312" w:eastAsia="@仿宋_GB2312" w:cs="@仿宋_GB2312"/>
      <w:sz w:val="18"/>
      <w:szCs w:val="18"/>
    </w:rPr>
  </w:style>
  <w:style w:type="character" w:customStyle="1" w:styleId="37">
    <w:name w:val="页脚 Char"/>
    <w:basedOn w:val="28"/>
    <w:link w:val="15"/>
    <w:autoRedefine/>
    <w:qFormat/>
    <w:uiPriority w:val="99"/>
    <w:rPr>
      <w:rFonts w:ascii="@仿宋_GB2312" w:hAnsi="@仿宋_GB2312" w:eastAsia="@仿宋_GB2312" w:cs="@仿宋_GB2312"/>
      <w:sz w:val="18"/>
      <w:szCs w:val="18"/>
    </w:rPr>
  </w:style>
  <w:style w:type="character" w:customStyle="1" w:styleId="38">
    <w:name w:val="纯文本 Char"/>
    <w:link w:val="12"/>
    <w:autoRedefine/>
    <w:qFormat/>
    <w:uiPriority w:val="0"/>
    <w:rPr>
      <w:rFonts w:ascii="宋体" w:hAnsi="Courier New"/>
    </w:rPr>
  </w:style>
  <w:style w:type="character" w:customStyle="1" w:styleId="39">
    <w:name w:val="纯文本 字符1"/>
    <w:basedOn w:val="28"/>
    <w:autoRedefine/>
    <w:semiHidden/>
    <w:qFormat/>
    <w:uiPriority w:val="99"/>
    <w:rPr>
      <w:rFonts w:hAnsi="Courier New" w:cs="Courier New" w:asciiTheme="minorEastAsia"/>
      <w:szCs w:val="20"/>
    </w:rPr>
  </w:style>
  <w:style w:type="character" w:customStyle="1" w:styleId="40">
    <w:name w:val="未处理的提及1"/>
    <w:basedOn w:val="28"/>
    <w:autoRedefine/>
    <w:semiHidden/>
    <w:unhideWhenUsed/>
    <w:qFormat/>
    <w:uiPriority w:val="99"/>
    <w:rPr>
      <w:color w:val="605E5C"/>
      <w:shd w:val="clear" w:color="auto" w:fill="E1DFDD"/>
    </w:rPr>
  </w:style>
  <w:style w:type="paragraph" w:styleId="41">
    <w:name w:val="List Paragraph"/>
    <w:basedOn w:val="1"/>
    <w:autoRedefine/>
    <w:qFormat/>
    <w:uiPriority w:val="34"/>
    <w:pPr>
      <w:ind w:firstLine="420" w:firstLineChars="200"/>
    </w:pPr>
  </w:style>
  <w:style w:type="paragraph" w:customStyle="1" w:styleId="42">
    <w:name w:val="Char Char Char Char Char Char Char1 Char"/>
    <w:basedOn w:val="1"/>
    <w:autoRedefine/>
    <w:qFormat/>
    <w:uiPriority w:val="0"/>
    <w:rPr>
      <w:rFonts w:ascii="Arial" w:hAnsi="Arial" w:eastAsia="宋体" w:cs="Arial"/>
      <w:sz w:val="24"/>
    </w:rPr>
  </w:style>
  <w:style w:type="table" w:customStyle="1" w:styleId="43">
    <w:name w:val="网格表 1 浅色1"/>
    <w:basedOn w:val="26"/>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4">
    <w:name w:val="日期 字符"/>
    <w:basedOn w:val="28"/>
    <w:autoRedefine/>
    <w:semiHidden/>
    <w:qFormat/>
    <w:uiPriority w:val="99"/>
    <w:rPr>
      <w:rFonts w:ascii="@仿宋_GB2312" w:hAnsi="@仿宋_GB2312" w:eastAsia="@仿宋_GB2312" w:cs="@仿宋_GB2312"/>
      <w:szCs w:val="20"/>
    </w:rPr>
  </w:style>
  <w:style w:type="character" w:customStyle="1" w:styleId="45">
    <w:name w:val="日期 Char"/>
    <w:link w:val="13"/>
    <w:autoRedefine/>
    <w:qFormat/>
    <w:uiPriority w:val="0"/>
    <w:rPr>
      <w:rFonts w:ascii="Arial" w:hAnsi="Arial" w:eastAsia="宋体" w:cs="Arial"/>
      <w:b/>
      <w:sz w:val="28"/>
      <w:szCs w:val="20"/>
    </w:rPr>
  </w:style>
  <w:style w:type="character" w:customStyle="1" w:styleId="46">
    <w:name w:val="纯文本 Char1"/>
    <w:link w:val="47"/>
    <w:autoRedefine/>
    <w:qFormat/>
    <w:locked/>
    <w:uiPriority w:val="0"/>
    <w:rPr>
      <w:rFonts w:ascii="Arial" w:hAnsi="Arial" w:eastAsia="Arial"/>
      <w:kern w:val="2"/>
      <w:sz w:val="21"/>
      <w:lang w:val="en-US" w:eastAsia="zh-CN" w:bidi="ar-SA"/>
    </w:rPr>
  </w:style>
  <w:style w:type="paragraph" w:customStyle="1" w:styleId="47">
    <w:name w:val="纯文本1"/>
    <w:basedOn w:val="1"/>
    <w:link w:val="46"/>
    <w:autoRedefine/>
    <w:qFormat/>
    <w:uiPriority w:val="0"/>
    <w:rPr>
      <w:rFonts w:ascii="Arial" w:hAnsi="Arial" w:eastAsia="Arial" w:cstheme="minorBidi"/>
    </w:rPr>
  </w:style>
  <w:style w:type="character" w:customStyle="1" w:styleId="48">
    <w:name w:val="批注文字 Char"/>
    <w:basedOn w:val="28"/>
    <w:autoRedefine/>
    <w:semiHidden/>
    <w:qFormat/>
    <w:uiPriority w:val="99"/>
    <w:rPr>
      <w:rFonts w:ascii="@仿宋_GB2312" w:hAnsi="@仿宋_GB2312" w:eastAsia="@仿宋_GB2312" w:cs="@仿宋_GB2312"/>
      <w:szCs w:val="20"/>
    </w:rPr>
  </w:style>
  <w:style w:type="character" w:customStyle="1" w:styleId="49">
    <w:name w:val="批注文字 Char1"/>
    <w:link w:val="7"/>
    <w:autoRedefine/>
    <w:qFormat/>
    <w:uiPriority w:val="0"/>
    <w:rPr>
      <w:rFonts w:ascii="Arial" w:hAnsi="Arial" w:eastAsia="黑体" w:cs="Arial"/>
      <w:szCs w:val="20"/>
    </w:rPr>
  </w:style>
  <w:style w:type="character" w:customStyle="1" w:styleId="50">
    <w:name w:val="标题 1 Char"/>
    <w:basedOn w:val="28"/>
    <w:link w:val="3"/>
    <w:autoRedefine/>
    <w:qFormat/>
    <w:uiPriority w:val="9"/>
    <w:rPr>
      <w:rFonts w:ascii="@仿宋_GB2312" w:hAnsi="@仿宋_GB2312" w:eastAsia="@仿宋_GB2312" w:cs="@仿宋_GB2312"/>
      <w:b/>
      <w:bCs/>
      <w:kern w:val="44"/>
      <w:sz w:val="44"/>
      <w:szCs w:val="44"/>
    </w:rPr>
  </w:style>
  <w:style w:type="paragraph" w:customStyle="1" w:styleId="51">
    <w:name w:val="TOC 标题1"/>
    <w:basedOn w:val="3"/>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2">
    <w:name w:val="标题 3 Char"/>
    <w:basedOn w:val="28"/>
    <w:link w:val="2"/>
    <w:autoRedefine/>
    <w:semiHidden/>
    <w:qFormat/>
    <w:uiPriority w:val="9"/>
    <w:rPr>
      <w:rFonts w:ascii="@仿宋_GB2312" w:hAnsi="@仿宋_GB2312" w:eastAsia="@仿宋_GB2312" w:cs="@仿宋_GB2312"/>
      <w:b/>
      <w:bCs/>
      <w:sz w:val="32"/>
      <w:szCs w:val="32"/>
    </w:rPr>
  </w:style>
  <w:style w:type="character" w:customStyle="1" w:styleId="53">
    <w:name w:val="fontstyle01"/>
    <w:basedOn w:val="28"/>
    <w:autoRedefine/>
    <w:qFormat/>
    <w:uiPriority w:val="0"/>
    <w:rPr>
      <w:rFonts w:hint="eastAsia" w:ascii="宋体" w:hAnsi="宋体" w:eastAsia="宋体"/>
      <w:color w:val="000000"/>
      <w:sz w:val="22"/>
      <w:szCs w:val="22"/>
    </w:rPr>
  </w:style>
  <w:style w:type="character" w:customStyle="1" w:styleId="54">
    <w:name w:val="fontstyle21"/>
    <w:basedOn w:val="28"/>
    <w:autoRedefine/>
    <w:qFormat/>
    <w:uiPriority w:val="0"/>
    <w:rPr>
      <w:rFonts w:hint="default" w:ascii="TimesNewRomanPSMT" w:hAnsi="TimesNewRomanPSMT"/>
      <w:color w:val="000000"/>
      <w:sz w:val="22"/>
      <w:szCs w:val="22"/>
    </w:rPr>
  </w:style>
  <w:style w:type="character" w:customStyle="1" w:styleId="55">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56">
    <w:name w:val="标题 4 字符"/>
    <w:basedOn w:val="28"/>
    <w:autoRedefine/>
    <w:semiHidden/>
    <w:qFormat/>
    <w:uiPriority w:val="9"/>
    <w:rPr>
      <w:rFonts w:asciiTheme="majorHAnsi" w:hAnsiTheme="majorHAnsi" w:eastAsiaTheme="majorEastAsia" w:cstheme="majorBidi"/>
      <w:b/>
      <w:bCs/>
      <w:sz w:val="28"/>
      <w:szCs w:val="28"/>
    </w:rPr>
  </w:style>
  <w:style w:type="character" w:customStyle="1" w:styleId="57">
    <w:name w:val="标题 4 Char"/>
    <w:link w:val="5"/>
    <w:autoRedefine/>
    <w:qFormat/>
    <w:uiPriority w:val="0"/>
    <w:rPr>
      <w:rFonts w:ascii="@仿宋_GB2312" w:hAnsi="@仿宋_GB2312" w:eastAsia="@仿宋_GB2312" w:cs="@仿宋_GB2312"/>
      <w:b/>
      <w:bCs/>
      <w:sz w:val="28"/>
      <w:szCs w:val="28"/>
    </w:rPr>
  </w:style>
  <w:style w:type="character" w:customStyle="1" w:styleId="58">
    <w:name w:val="正文文本 Char"/>
    <w:basedOn w:val="28"/>
    <w:link w:val="8"/>
    <w:autoRedefine/>
    <w:qFormat/>
    <w:uiPriority w:val="0"/>
    <w:rPr>
      <w:rFonts w:ascii="@微软简标宋" w:hAnsi="@微软简标宋" w:eastAsia="@微软简标宋" w:cs="@微软简标宋"/>
      <w:szCs w:val="24"/>
      <w:lang w:val="zh-CN" w:eastAsia="zh-CN"/>
    </w:rPr>
  </w:style>
  <w:style w:type="character" w:customStyle="1" w:styleId="59">
    <w:name w:val="批注主题 Char"/>
    <w:basedOn w:val="49"/>
    <w:link w:val="23"/>
    <w:autoRedefine/>
    <w:semiHidden/>
    <w:qFormat/>
    <w:uiPriority w:val="99"/>
    <w:rPr>
      <w:rFonts w:ascii="@仿宋_GB2312" w:hAnsi="@仿宋_GB2312" w:eastAsia="@仿宋_GB2312" w:cs="@仿宋_GB2312"/>
      <w:b/>
      <w:bCs/>
      <w:kern w:val="2"/>
      <w:sz w:val="21"/>
      <w:szCs w:val="20"/>
    </w:rPr>
  </w:style>
  <w:style w:type="paragraph" w:customStyle="1" w:styleId="60">
    <w:name w:val="列出段落2"/>
    <w:basedOn w:val="61"/>
    <w:autoRedefine/>
    <w:qFormat/>
    <w:uiPriority w:val="0"/>
    <w:pPr>
      <w:ind w:firstLine="420" w:firstLineChars="200"/>
    </w:pPr>
    <w:rPr>
      <w:rFonts w:ascii="Times New Roman" w:hAnsi="Times New Roman" w:cs="Times New Roman"/>
    </w:rPr>
  </w:style>
  <w:style w:type="paragraph" w:customStyle="1" w:styleId="61">
    <w:name w:val="正文_0"/>
    <w:autoRedefine/>
    <w:qFormat/>
    <w:uiPriority w:val="0"/>
    <w:pPr>
      <w:widowControl w:val="0"/>
      <w:jc w:val="both"/>
    </w:pPr>
    <w:rPr>
      <w:rFonts w:ascii="Tahoma" w:hAnsi="Tahoma" w:eastAsia="宋体" w:cs="Tahoma"/>
      <w:kern w:val="2"/>
      <w:sz w:val="21"/>
      <w:szCs w:val="22"/>
      <w:lang w:val="en-US" w:eastAsia="zh-CN" w:bidi="ar-SA"/>
    </w:rPr>
  </w:style>
  <w:style w:type="paragraph" w:customStyle="1" w:styleId="62">
    <w:name w:val="正文_0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font21"/>
    <w:basedOn w:val="2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3235-94F5-4C07-9774-28264B6F464C}">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69</Pages>
  <Words>30368</Words>
  <Characters>31910</Characters>
  <Lines>253</Lines>
  <Paragraphs>71</Paragraphs>
  <TotalTime>5</TotalTime>
  <ScaleCrop>false</ScaleCrop>
  <LinksUpToDate>false</LinksUpToDate>
  <CharactersWithSpaces>34684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2020-06-30T11:09:00Z</dcterms:created>
  <dc:creator>Anakin</dc:creator>
  <cp:lastModifiedBy>c、</cp:lastModifiedBy>
  <cp:lastPrinted>2019-12-07T15:20:00Z</cp:lastPrinted>
  <dcterms:modified xsi:type="dcterms:W3CDTF">2024-03-25T02:10:03Z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200E13B831C7447C811E437594A09134_13</vt:lpwstr>
  </property>
</Properties>
</file>